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B5CE0" w14:textId="4FDB5413" w:rsidR="00627BC0" w:rsidRDefault="00627BC0" w:rsidP="00D908DB">
      <w:pPr>
        <w:tabs>
          <w:tab w:val="left" w:pos="1782"/>
        </w:tabs>
      </w:pPr>
      <w:bookmarkStart w:id="0" w:name="_GoBack"/>
      <w:bookmarkEnd w:id="0"/>
    </w:p>
    <w:sdt>
      <w:sdtPr>
        <w:id w:val="-385645642"/>
        <w:docPartObj>
          <w:docPartGallery w:val="Cover Pages"/>
          <w:docPartUnique/>
        </w:docPartObj>
      </w:sdtPr>
      <w:sdtEndPr>
        <w:rPr>
          <w:noProof/>
          <w:color w:val="FFFFFF" w:themeColor="background1"/>
        </w:rPr>
      </w:sdtEndPr>
      <w:sdtContent>
        <w:p w14:paraId="2941423F" w14:textId="4B26A9D2" w:rsidR="00604EEF" w:rsidRPr="00E05D9A" w:rsidRDefault="00D908DB" w:rsidP="00D908DB">
          <w:pPr>
            <w:tabs>
              <w:tab w:val="left" w:pos="1782"/>
            </w:tabs>
            <w:rPr>
              <w:color w:val="002C47" w:themeColor="accent1"/>
            </w:rPr>
          </w:pPr>
          <w:r w:rsidRPr="00E05D9A">
            <w:rPr>
              <w:color w:val="002C47" w:themeColor="accent1"/>
            </w:rPr>
            <w:tab/>
          </w:r>
        </w:p>
        <w:p w14:paraId="47973690" w14:textId="6F43C81B" w:rsidR="00604EEF" w:rsidRPr="00E05D9A" w:rsidRDefault="00604EEF" w:rsidP="00301755">
          <w:pPr>
            <w:pStyle w:val="Crest"/>
            <w:spacing w:after="1200"/>
            <w:jc w:val="right"/>
            <w:rPr>
              <w:color w:val="002C47" w:themeColor="accent1"/>
            </w:rPr>
          </w:pPr>
        </w:p>
        <w:p w14:paraId="166094C5" w14:textId="77777777" w:rsidR="00FD425F" w:rsidRPr="00E05D9A" w:rsidRDefault="00FD425F" w:rsidP="00FD425F">
          <w:pPr>
            <w:pStyle w:val="Crest"/>
            <w:spacing w:after="1200"/>
            <w:ind w:left="851"/>
            <w:jc w:val="right"/>
            <w:rPr>
              <w:color w:val="002C47" w:themeColor="accent1"/>
            </w:rPr>
          </w:pPr>
        </w:p>
        <w:p w14:paraId="0F151DB0" w14:textId="0BB64D39" w:rsidR="00604EEF" w:rsidRPr="00E05D9A" w:rsidRDefault="007201DE" w:rsidP="00FD425F">
          <w:pPr>
            <w:pStyle w:val="Title"/>
            <w:ind w:left="709"/>
          </w:pPr>
          <w:r w:rsidRPr="00E05D9A">
            <w:t xml:space="preserve">Effectiveness </w:t>
          </w:r>
          <w:r w:rsidR="00723C85" w:rsidRPr="00E05D9A">
            <w:t>and Capability</w:t>
          </w:r>
          <w:r w:rsidRPr="00E05D9A">
            <w:t xml:space="preserve"> Review</w:t>
          </w:r>
          <w:r w:rsidR="0012068D" w:rsidRPr="00E05D9A">
            <w:t xml:space="preserve"> of the</w:t>
          </w:r>
          <w:r w:rsidRPr="00E05D9A">
            <w:t xml:space="preserve"> </w:t>
          </w:r>
          <w:r w:rsidR="0012068D" w:rsidRPr="00E05D9A">
            <w:t>Australian Securities and Investments Commission</w:t>
          </w:r>
        </w:p>
        <w:p w14:paraId="3820A794" w14:textId="33DDE234" w:rsidR="00604EEF" w:rsidRPr="00E05D9A" w:rsidRDefault="008A1CB5" w:rsidP="00FD425F">
          <w:pPr>
            <w:pStyle w:val="Subtitle"/>
            <w:ind w:left="709"/>
            <w:rPr>
              <w:color w:val="002C47" w:themeColor="accent1"/>
            </w:rPr>
          </w:pPr>
          <w:r w:rsidRPr="00E05D9A">
            <w:rPr>
              <w:color w:val="002C47" w:themeColor="accent1"/>
            </w:rPr>
            <w:t>Financial Regulator Assessment Authority</w:t>
          </w:r>
        </w:p>
        <w:p w14:paraId="57C9ACE9" w14:textId="24225163" w:rsidR="00604EEF" w:rsidRPr="00E05D9A" w:rsidRDefault="007201DE" w:rsidP="00FD425F">
          <w:pPr>
            <w:pStyle w:val="ReportDate"/>
            <w:ind w:left="709"/>
            <w:rPr>
              <w:rFonts w:ascii="Rockwell" w:hAnsi="Rockwell"/>
              <w:color w:val="002C47" w:themeColor="accent1"/>
              <w:sz w:val="24"/>
            </w:rPr>
          </w:pPr>
          <w:r w:rsidRPr="00E05D9A">
            <w:rPr>
              <w:rStyle w:val="ReportDateChar"/>
              <w:color w:val="002C47" w:themeColor="accent1"/>
            </w:rPr>
            <w:t>Ju</w:t>
          </w:r>
          <w:r w:rsidR="001A4105" w:rsidRPr="00E05D9A">
            <w:rPr>
              <w:rStyle w:val="ReportDateChar"/>
              <w:color w:val="002C47" w:themeColor="accent1"/>
            </w:rPr>
            <w:t>ly</w:t>
          </w:r>
          <w:r w:rsidRPr="00E05D9A">
            <w:rPr>
              <w:rStyle w:val="ReportDateChar"/>
              <w:color w:val="002C47" w:themeColor="accent1"/>
            </w:rPr>
            <w:t xml:space="preserve"> 2022</w:t>
          </w:r>
        </w:p>
        <w:p w14:paraId="6EFB3FCF" w14:textId="77777777" w:rsidR="00604EEF" w:rsidRPr="00FD425F" w:rsidRDefault="00604EEF" w:rsidP="00FD425F">
          <w:pPr>
            <w:spacing w:before="0" w:after="160" w:line="259" w:lineRule="auto"/>
            <w:ind w:left="709"/>
            <w:rPr>
              <w:noProof/>
              <w:color w:val="FFFFFF" w:themeColor="background1"/>
            </w:rPr>
          </w:pPr>
          <w:r w:rsidRPr="00FD425F">
            <w:rPr>
              <w:noProof/>
              <w:color w:val="FFFFFF" w:themeColor="background1"/>
            </w:rPr>
            <w:br w:type="page"/>
          </w:r>
        </w:p>
      </w:sdtContent>
    </w:sdt>
    <w:p w14:paraId="4B743730" w14:textId="302F4B61" w:rsidR="00DD08CB" w:rsidRDefault="00DD08CB" w:rsidP="00DD08CB">
      <w:r w:rsidRPr="00661BF0">
        <w:lastRenderedPageBreak/>
        <w:t>© Commonwealth of Australi</w:t>
      </w:r>
      <w:r w:rsidRPr="00AB464D">
        <w:t>a 2022</w:t>
      </w:r>
    </w:p>
    <w:p w14:paraId="216B895A" w14:textId="5ADA949E" w:rsidR="00A16922" w:rsidRDefault="00A16922" w:rsidP="00DD08CB">
      <w:pPr>
        <w:rPr>
          <w:noProof/>
        </w:rPr>
      </w:pPr>
      <w:r>
        <w:t xml:space="preserve">ISBN: </w:t>
      </w:r>
      <w:r w:rsidR="00C606AD" w:rsidRPr="00C606AD">
        <w:t>978</w:t>
      </w:r>
      <w:r w:rsidR="00EF40B0">
        <w:noBreakHyphen/>
      </w:r>
      <w:r w:rsidR="00C606AD" w:rsidRPr="00C606AD">
        <w:t>1</w:t>
      </w:r>
      <w:r w:rsidR="00EF40B0">
        <w:noBreakHyphen/>
      </w:r>
      <w:r w:rsidR="00C606AD" w:rsidRPr="00C606AD">
        <w:t>925832</w:t>
      </w:r>
      <w:r w:rsidR="00EF40B0">
        <w:noBreakHyphen/>
      </w:r>
      <w:r w:rsidR="00C606AD" w:rsidRPr="00C606AD">
        <w:t>52</w:t>
      </w:r>
      <w:r w:rsidR="00EF40B0">
        <w:noBreakHyphen/>
      </w:r>
      <w:r w:rsidR="00C606AD" w:rsidRPr="00C606AD">
        <w:t>5</w:t>
      </w:r>
    </w:p>
    <w:p w14:paraId="44761231" w14:textId="639A3454" w:rsidR="00DD08CB" w:rsidRPr="00086F82" w:rsidRDefault="00DD08CB" w:rsidP="00DD08CB">
      <w:pPr>
        <w:tabs>
          <w:tab w:val="left" w:pos="1650"/>
        </w:tabs>
        <w:spacing w:before="240"/>
        <w:rPr>
          <w:sz w:val="24"/>
          <w:szCs w:val="24"/>
        </w:rPr>
      </w:pPr>
      <w:r w:rsidRPr="002F1BC2">
        <w:t>This publication is available for your use under a</w:t>
      </w:r>
      <w:r w:rsidRPr="00476F09">
        <w:rPr>
          <w:rFonts w:cstheme="minorHAnsi"/>
          <w:sz w:val="24"/>
          <w:szCs w:val="24"/>
        </w:rPr>
        <w:t xml:space="preserve"> </w:t>
      </w:r>
      <w:hyperlink r:id="rId11" w:history="1">
        <w:r w:rsidRPr="006627B4">
          <w:rPr>
            <w:rStyle w:val="Hyperlink"/>
          </w:rPr>
          <w:t>Creative Commons Attribution 3.0 Australia</w:t>
        </w:r>
      </w:hyperlink>
      <w:r w:rsidRPr="002F1BC2">
        <w:t xml:space="preserve"> licence, with the exception of the Commonwealth Coat of Arms, the Treasury logo</w:t>
      </w:r>
      <w:r>
        <w:t xml:space="preserve">, photographs, images, signatures </w:t>
      </w:r>
      <w:r w:rsidRPr="002F1BC2">
        <w:t>and where otherwise stated</w:t>
      </w:r>
      <w:r>
        <w:t>.</w:t>
      </w:r>
      <w:r w:rsidRPr="002F1BC2">
        <w:t xml:space="preserve"> The full licence terms are available fro</w:t>
      </w:r>
      <w:r w:rsidRPr="00476F09">
        <w:rPr>
          <w:rFonts w:cstheme="minorHAnsi"/>
          <w:sz w:val="24"/>
          <w:szCs w:val="24"/>
        </w:rPr>
        <w:t>m</w:t>
      </w:r>
      <w:r>
        <w:t xml:space="preserve"> </w:t>
      </w:r>
      <w:hyperlink r:id="rId12"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00A4AEE8" w14:textId="77777777" w:rsidR="00DD08CB" w:rsidRDefault="00DD08CB" w:rsidP="00DD08CB">
      <w:pPr>
        <w:pStyle w:val="ChartGraphic"/>
      </w:pPr>
      <w:r w:rsidRPr="00E56DFB">
        <w:rPr>
          <w:noProof/>
          <w:lang w:eastAsia="zh-CN"/>
        </w:rPr>
        <w:drawing>
          <wp:inline distT="0" distB="0" distL="0" distR="0" wp14:anchorId="69457283" wp14:editId="28470068">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8D6AA3C" w14:textId="2DD67254" w:rsidR="00DD08CB" w:rsidRPr="006627B4" w:rsidRDefault="00DD08CB" w:rsidP="00DD08CB">
      <w:pPr>
        <w:tabs>
          <w:tab w:val="left" w:pos="1650"/>
        </w:tabs>
        <w:spacing w:before="240"/>
      </w:pPr>
      <w:r w:rsidRPr="006627B4">
        <w:t>Use of Treasury material under a</w:t>
      </w:r>
      <w:r w:rsidRPr="00476F09">
        <w:rPr>
          <w:rFonts w:cstheme="minorHAnsi"/>
          <w:sz w:val="24"/>
          <w:szCs w:val="24"/>
        </w:rPr>
        <w:t xml:space="preserve"> </w:t>
      </w:r>
      <w:hyperlink r:id="rId14"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6E4DA33A" w14:textId="3AA0AB11" w:rsidR="00DD08CB" w:rsidRPr="00951229" w:rsidRDefault="00DD08CB" w:rsidP="00951229">
      <w:pPr>
        <w:spacing w:before="240"/>
        <w:rPr>
          <w:b/>
        </w:rPr>
      </w:pPr>
      <w:r w:rsidRPr="00951229">
        <w:rPr>
          <w:b/>
        </w:rPr>
        <w:t xml:space="preserve">Financial Regulator Assessment Authority material used </w:t>
      </w:r>
      <w:r w:rsidR="00EF40B0">
        <w:rPr>
          <w:b/>
        </w:rPr>
        <w:t>‘</w:t>
      </w:r>
      <w:r w:rsidRPr="00951229">
        <w:rPr>
          <w:b/>
        </w:rPr>
        <w:t>as supplied</w:t>
      </w:r>
      <w:r w:rsidR="00EF40B0">
        <w:rPr>
          <w:b/>
        </w:rPr>
        <w:t>’</w:t>
      </w:r>
      <w:r w:rsidRPr="00951229">
        <w:rPr>
          <w:b/>
        </w:rPr>
        <w:t>.</w:t>
      </w:r>
    </w:p>
    <w:p w14:paraId="337BCECC" w14:textId="2C66A069" w:rsidR="00DD08CB" w:rsidRPr="00476F09" w:rsidRDefault="00DD08CB" w:rsidP="00CA6AF0">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rsidR="001A1CBE">
        <w:t xml:space="preserve"> – </w:t>
      </w:r>
      <w:r>
        <w:t>then Treasury prefers t</w:t>
      </w:r>
      <w:r w:rsidRPr="00476F09">
        <w:t xml:space="preserve">he following attribution: </w:t>
      </w:r>
    </w:p>
    <w:p w14:paraId="2FB94326" w14:textId="77777777" w:rsidR="00DD08CB" w:rsidRPr="00A13A11" w:rsidRDefault="00DD08CB" w:rsidP="00DD08CB">
      <w:pPr>
        <w:ind w:firstLine="720"/>
      </w:pPr>
      <w:r w:rsidRPr="002F1BC2">
        <w:rPr>
          <w:i/>
        </w:rPr>
        <w:t xml:space="preserve">Source: The </w:t>
      </w:r>
      <w:r>
        <w:rPr>
          <w:i/>
          <w:iCs/>
        </w:rPr>
        <w:t>Financial Regulator Assessment Authority</w:t>
      </w:r>
    </w:p>
    <w:p w14:paraId="7151D6E1" w14:textId="77777777" w:rsidR="00DD08CB" w:rsidRPr="006627B4" w:rsidRDefault="00DD08CB" w:rsidP="00DD08CB">
      <w:pPr>
        <w:spacing w:before="240"/>
      </w:pPr>
      <w:r w:rsidRPr="00CC63CC">
        <w:rPr>
          <w:b/>
        </w:rPr>
        <w:t>Derivative</w:t>
      </w:r>
      <w:r w:rsidRPr="006627B4">
        <w:t xml:space="preserve"> </w:t>
      </w:r>
      <w:r w:rsidRPr="00CC63CC">
        <w:rPr>
          <w:b/>
        </w:rPr>
        <w:t>material</w:t>
      </w:r>
    </w:p>
    <w:p w14:paraId="6BAD59EA" w14:textId="77777777" w:rsidR="00DD08CB" w:rsidRPr="006627B4" w:rsidRDefault="00DD08CB" w:rsidP="00DD08CB">
      <w:r w:rsidRPr="006627B4">
        <w:t xml:space="preserve">If you have modified or transformed Treasury material, or derived new material from those of the Treasury in any way, then Treasury prefers the following attribution: </w:t>
      </w:r>
    </w:p>
    <w:p w14:paraId="745F60AA" w14:textId="77777777" w:rsidR="00DD08CB" w:rsidRPr="006627B4" w:rsidRDefault="00DD08CB" w:rsidP="00DD08CB">
      <w:pPr>
        <w:ind w:firstLine="720"/>
      </w:pPr>
      <w:r w:rsidRPr="002F1BC2">
        <w:rPr>
          <w:i/>
        </w:rPr>
        <w:t xml:space="preserve">Based on </w:t>
      </w:r>
      <w:r>
        <w:rPr>
          <w:i/>
        </w:rPr>
        <w:t>t</w:t>
      </w:r>
      <w:r w:rsidRPr="002F1BC2">
        <w:rPr>
          <w:i/>
        </w:rPr>
        <w:t xml:space="preserve">he </w:t>
      </w:r>
      <w:r>
        <w:rPr>
          <w:i/>
        </w:rPr>
        <w:t>Financial Regulatory Assessment Authority</w:t>
      </w:r>
      <w:r w:rsidRPr="002F1BC2">
        <w:rPr>
          <w:i/>
        </w:rPr>
        <w:t xml:space="preserve"> data</w:t>
      </w:r>
      <w:r w:rsidRPr="006627B4">
        <w:t xml:space="preserve"> </w:t>
      </w:r>
    </w:p>
    <w:p w14:paraId="0A0C40F0" w14:textId="77777777" w:rsidR="00DD08CB" w:rsidRPr="006627B4" w:rsidRDefault="00DD08CB" w:rsidP="00DD08CB">
      <w:pPr>
        <w:spacing w:before="240"/>
        <w:rPr>
          <w:b/>
        </w:rPr>
      </w:pPr>
      <w:r w:rsidRPr="006627B4">
        <w:rPr>
          <w:b/>
        </w:rPr>
        <w:t>Use of the Coat of Arms</w:t>
      </w:r>
    </w:p>
    <w:p w14:paraId="1323EF50" w14:textId="25ED0046" w:rsidR="00DD08CB" w:rsidRPr="005C503A" w:rsidRDefault="00DD08CB" w:rsidP="00F559D9">
      <w:r w:rsidRPr="005C503A">
        <w:t xml:space="preserve">The terms under which the Coat of Arms can be used are set out on the Department of the Prime Minister and Cabinet website (see </w:t>
      </w:r>
      <w:hyperlink r:id="rId15" w:history="1">
        <w:r w:rsidRPr="005C503A">
          <w:rPr>
            <w:rStyle w:val="Hyperlink"/>
          </w:rPr>
          <w:t>www.pmc.gov.au/government/commonwealth</w:t>
        </w:r>
        <w:r w:rsidR="00EF40B0">
          <w:rPr>
            <w:rStyle w:val="Hyperlink"/>
          </w:rPr>
          <w:noBreakHyphen/>
        </w:r>
        <w:r w:rsidRPr="005C503A">
          <w:rPr>
            <w:rStyle w:val="Hyperlink"/>
          </w:rPr>
          <w:t>coat</w:t>
        </w:r>
        <w:r w:rsidR="00EF40B0">
          <w:rPr>
            <w:rStyle w:val="Hyperlink"/>
          </w:rPr>
          <w:noBreakHyphen/>
        </w:r>
        <w:r w:rsidRPr="005C503A">
          <w:rPr>
            <w:rStyle w:val="Hyperlink"/>
          </w:rPr>
          <w:t>arm</w:t>
        </w:r>
      </w:hyperlink>
      <w:r w:rsidRPr="005C503A">
        <w:t>s).</w:t>
      </w:r>
    </w:p>
    <w:p w14:paraId="64A08569" w14:textId="77777777" w:rsidR="00DD08CB" w:rsidRPr="006627B4" w:rsidRDefault="00DD08CB" w:rsidP="00DD08CB">
      <w:pPr>
        <w:spacing w:before="240"/>
        <w:rPr>
          <w:b/>
        </w:rPr>
      </w:pPr>
      <w:r>
        <w:rPr>
          <w:b/>
        </w:rPr>
        <w:t>Other u</w:t>
      </w:r>
      <w:r w:rsidRPr="006627B4">
        <w:rPr>
          <w:b/>
        </w:rPr>
        <w:t>ses</w:t>
      </w:r>
    </w:p>
    <w:p w14:paraId="7D2AF391" w14:textId="77777777" w:rsidR="00DD08CB" w:rsidRPr="006627B4" w:rsidRDefault="00DD08CB" w:rsidP="00DD08CB">
      <w:r>
        <w:t>E</w:t>
      </w:r>
      <w:r w:rsidRPr="006627B4">
        <w:t>nquiries regarding this licence and any other use of this document are welcome at:</w:t>
      </w:r>
    </w:p>
    <w:p w14:paraId="73CF0D7D" w14:textId="5253E4A6" w:rsidR="00DD08CB" w:rsidRPr="002F1BC2" w:rsidRDefault="00DD08CB" w:rsidP="00DD08CB">
      <w:pPr>
        <w:ind w:left="720"/>
        <w:rPr>
          <w:rStyle w:val="Hyperlink"/>
        </w:rPr>
      </w:pPr>
      <w:r w:rsidRPr="006627B4">
        <w:t>Manager</w:t>
      </w:r>
      <w:r>
        <w:br/>
        <w:t>Media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6" w:history="1">
        <w:r w:rsidRPr="000951A5">
          <w:rPr>
            <w:rStyle w:val="Hyperlink"/>
          </w:rPr>
          <w:t>media@treasury.gov.au</w:t>
        </w:r>
      </w:hyperlink>
      <w:r>
        <w:rPr>
          <w:rStyle w:val="Hyperlink"/>
        </w:rPr>
        <w:t xml:space="preserve"> </w:t>
      </w:r>
    </w:p>
    <w:p w14:paraId="46A27E3E" w14:textId="77777777" w:rsidR="00F559D9" w:rsidRDefault="00F559D9">
      <w:pPr>
        <w:spacing w:before="0" w:after="160" w:line="259" w:lineRule="auto"/>
        <w:sectPr w:rsidR="00F559D9" w:rsidSect="00002267">
          <w:footerReference w:type="default" r:id="rId17"/>
          <w:pgSz w:w="11906" w:h="16838" w:code="9"/>
          <w:pgMar w:top="1418" w:right="1418" w:bottom="1418" w:left="1418" w:header="709" w:footer="709" w:gutter="0"/>
          <w:pgNumType w:fmt="lowerRoman"/>
          <w:cols w:space="708"/>
          <w:titlePg/>
          <w:docGrid w:linePitch="360"/>
        </w:sectPr>
      </w:pPr>
    </w:p>
    <w:p w14:paraId="1C9FA5E1" w14:textId="656CB6A6" w:rsidR="00F559D9" w:rsidRDefault="00F559D9">
      <w:pPr>
        <w:spacing w:before="0" w:after="160" w:line="259" w:lineRule="auto"/>
      </w:pPr>
    </w:p>
    <w:p w14:paraId="4C4CB79B" w14:textId="5D902A78" w:rsidR="00D46679" w:rsidRDefault="00A16922" w:rsidP="00D46679">
      <w:r>
        <w:rPr>
          <w:noProof/>
        </w:rPr>
        <w:drawing>
          <wp:anchor distT="0" distB="0" distL="114300" distR="114300" simplePos="0" relativeHeight="251658240" behindDoc="1" locked="0" layoutInCell="1" allowOverlap="1" wp14:anchorId="284AAE12" wp14:editId="2BF7EA97">
            <wp:simplePos x="0" y="0"/>
            <wp:positionH relativeFrom="page">
              <wp:align>center</wp:align>
            </wp:positionH>
            <wp:positionV relativeFrom="page">
              <wp:align>top</wp:align>
            </wp:positionV>
            <wp:extent cx="7534800" cy="1393200"/>
            <wp:effectExtent l="0" t="0" r="952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34800" cy="1393200"/>
                    </a:xfrm>
                    <a:prstGeom prst="rect">
                      <a:avLst/>
                    </a:prstGeom>
                  </pic:spPr>
                </pic:pic>
              </a:graphicData>
            </a:graphic>
            <wp14:sizeRelH relativeFrom="margin">
              <wp14:pctWidth>0</wp14:pctWidth>
            </wp14:sizeRelH>
            <wp14:sizeRelV relativeFrom="margin">
              <wp14:pctHeight>0</wp14:pctHeight>
            </wp14:sizeRelV>
          </wp:anchor>
        </w:drawing>
      </w:r>
    </w:p>
    <w:p w14:paraId="26141B44" w14:textId="77777777" w:rsidR="00F80901" w:rsidRDefault="00F80901" w:rsidP="00F80901">
      <w:pPr>
        <w:jc w:val="right"/>
      </w:pPr>
      <w:r w:rsidRPr="004F5C0A">
        <w:t>29 July 2022</w:t>
      </w:r>
    </w:p>
    <w:p w14:paraId="6C66D126" w14:textId="77777777" w:rsidR="00F80901" w:rsidRDefault="00F80901" w:rsidP="00F80901"/>
    <w:p w14:paraId="3F7289A7" w14:textId="62E51BC1" w:rsidR="00F80901" w:rsidRDefault="00460929" w:rsidP="00634DE6">
      <w:pPr>
        <w:spacing w:before="0" w:after="0"/>
      </w:pPr>
      <w:r>
        <w:t xml:space="preserve">The </w:t>
      </w:r>
      <w:r w:rsidR="008176FE">
        <w:t>Hon</w:t>
      </w:r>
      <w:r>
        <w:t>.</w:t>
      </w:r>
      <w:r w:rsidR="008176FE">
        <w:t xml:space="preserve"> Stephen Jones</w:t>
      </w:r>
      <w:r w:rsidR="00A57D35">
        <w:t>,</w:t>
      </w:r>
      <w:r w:rsidR="008176FE">
        <w:t xml:space="preserve"> MP</w:t>
      </w:r>
    </w:p>
    <w:p w14:paraId="79640616" w14:textId="3F4D790E" w:rsidR="006D18B4" w:rsidRDefault="008176FE" w:rsidP="00634DE6">
      <w:pPr>
        <w:spacing w:before="0" w:after="0"/>
      </w:pPr>
      <w:r>
        <w:t xml:space="preserve">Assistant </w:t>
      </w:r>
      <w:r w:rsidR="00F80901">
        <w:t xml:space="preserve">Treasurer </w:t>
      </w:r>
      <w:r w:rsidR="00FB40AC">
        <w:t xml:space="preserve">and </w:t>
      </w:r>
    </w:p>
    <w:p w14:paraId="2817A668" w14:textId="751D2010" w:rsidR="00F80901" w:rsidRDefault="00FB40AC" w:rsidP="00634DE6">
      <w:pPr>
        <w:spacing w:before="0" w:after="0"/>
      </w:pPr>
      <w:r>
        <w:t>Minister for Financial Services</w:t>
      </w:r>
    </w:p>
    <w:p w14:paraId="2E57BC59" w14:textId="77777777" w:rsidR="00F80901" w:rsidRDefault="00F80901" w:rsidP="00634DE6">
      <w:pPr>
        <w:spacing w:before="0" w:after="0"/>
      </w:pPr>
      <w:r>
        <w:t>Parliament House</w:t>
      </w:r>
    </w:p>
    <w:p w14:paraId="76E170A1" w14:textId="77777777" w:rsidR="00F80901" w:rsidRDefault="00F80901" w:rsidP="00634DE6">
      <w:pPr>
        <w:spacing w:before="0" w:after="0"/>
      </w:pPr>
      <w:r>
        <w:t>Canberra ACT 2600</w:t>
      </w:r>
    </w:p>
    <w:p w14:paraId="41AAC993" w14:textId="77777777" w:rsidR="00F80901" w:rsidRDefault="00F80901" w:rsidP="00F80901"/>
    <w:p w14:paraId="1E489F8C" w14:textId="7E4EFD96" w:rsidR="00A45881" w:rsidRPr="00A45881" w:rsidRDefault="00A45881" w:rsidP="00A45881">
      <w:pPr>
        <w:textAlignment w:val="baseline"/>
        <w:rPr>
          <w:rFonts w:ascii="Segoe UI" w:hAnsi="Segoe UI" w:cs="Segoe UI"/>
          <w:sz w:val="18"/>
          <w:szCs w:val="18"/>
        </w:rPr>
      </w:pPr>
      <w:r w:rsidRPr="00A45881">
        <w:rPr>
          <w:rFonts w:cs="Calibri"/>
          <w:szCs w:val="22"/>
        </w:rPr>
        <w:t>Dear Assistant Treasurer </w:t>
      </w:r>
      <w:r w:rsidR="00FB40AC">
        <w:rPr>
          <w:rFonts w:cs="Calibri"/>
          <w:szCs w:val="22"/>
        </w:rPr>
        <w:t>and Minister for Financial Services</w:t>
      </w:r>
    </w:p>
    <w:p w14:paraId="7E941F40" w14:textId="6E85B698" w:rsidR="00A45881" w:rsidRPr="00A45881" w:rsidRDefault="00A45881" w:rsidP="00A45881">
      <w:pPr>
        <w:textAlignment w:val="baseline"/>
        <w:rPr>
          <w:rFonts w:ascii="Segoe UI" w:hAnsi="Segoe UI" w:cs="Segoe UI"/>
          <w:sz w:val="18"/>
          <w:szCs w:val="18"/>
        </w:rPr>
      </w:pPr>
      <w:r w:rsidRPr="00A45881">
        <w:rPr>
          <w:rFonts w:cs="Calibri"/>
          <w:b/>
          <w:bCs/>
          <w:szCs w:val="22"/>
        </w:rPr>
        <w:t>Financial Regulator Assessment Authority</w:t>
      </w:r>
      <w:r w:rsidRPr="00A45881">
        <w:rPr>
          <w:rFonts w:cs="Calibri"/>
          <w:szCs w:val="22"/>
        </w:rPr>
        <w:t> </w:t>
      </w:r>
      <w:r w:rsidRPr="00A45881">
        <w:rPr>
          <w:rFonts w:cs="Calibri"/>
          <w:b/>
          <w:bCs/>
          <w:szCs w:val="22"/>
        </w:rPr>
        <w:t>Effectiveness and Capability Review of the Australian Securities and Investments Commission</w:t>
      </w:r>
      <w:r w:rsidRPr="00A45881">
        <w:rPr>
          <w:rFonts w:cs="Calibri"/>
          <w:szCs w:val="22"/>
        </w:rPr>
        <w:t> </w:t>
      </w:r>
    </w:p>
    <w:p w14:paraId="137FE219" w14:textId="666C008E" w:rsidR="00A45881" w:rsidRPr="00A45881" w:rsidRDefault="7DE336EE" w:rsidP="00A45881">
      <w:pPr>
        <w:textAlignment w:val="baseline"/>
        <w:rPr>
          <w:rFonts w:ascii="Segoe UI" w:hAnsi="Segoe UI" w:cs="Segoe UI"/>
          <w:sz w:val="18"/>
          <w:szCs w:val="18"/>
        </w:rPr>
      </w:pPr>
      <w:r w:rsidRPr="47461EE2">
        <w:rPr>
          <w:rFonts w:cs="Calibri"/>
        </w:rPr>
        <w:t xml:space="preserve">In accordance with the </w:t>
      </w:r>
      <w:r w:rsidRPr="47461EE2">
        <w:rPr>
          <w:rFonts w:cs="Calibri"/>
          <w:i/>
          <w:iCs/>
        </w:rPr>
        <w:t>Financial Regulator Assessment Authority Act 2021</w:t>
      </w:r>
      <w:r w:rsidRPr="47461EE2">
        <w:rPr>
          <w:rFonts w:cs="Calibri"/>
        </w:rPr>
        <w:t xml:space="preserve">, we are pleased to present to you the Financial Regulator Assessment Authority (FRAA) report – </w:t>
      </w:r>
      <w:r w:rsidRPr="47461EE2">
        <w:rPr>
          <w:rFonts w:cs="Calibri"/>
          <w:i/>
          <w:iCs/>
        </w:rPr>
        <w:t>Effectiveness and Capability Review of the Australian Securities and Investments Commission</w:t>
      </w:r>
      <w:r w:rsidRPr="47461EE2">
        <w:rPr>
          <w:rFonts w:cs="Calibri"/>
        </w:rPr>
        <w:t xml:space="preserve"> (ASIC)</w:t>
      </w:r>
      <w:r w:rsidR="6AE50573" w:rsidRPr="47461EE2">
        <w:rPr>
          <w:rFonts w:cs="Calibri"/>
        </w:rPr>
        <w:t xml:space="preserve">. </w:t>
      </w:r>
    </w:p>
    <w:p w14:paraId="2C1198B3" w14:textId="711B1F8F" w:rsidR="00A45881" w:rsidRPr="00A45881" w:rsidRDefault="00A45881" w:rsidP="00A45881">
      <w:pPr>
        <w:textAlignment w:val="baseline"/>
        <w:rPr>
          <w:rFonts w:ascii="Segoe UI" w:hAnsi="Segoe UI" w:cs="Segoe UI"/>
          <w:sz w:val="18"/>
          <w:szCs w:val="18"/>
        </w:rPr>
      </w:pPr>
      <w:r w:rsidRPr="00A45881">
        <w:rPr>
          <w:rFonts w:cs="Calibri"/>
          <w:szCs w:val="22"/>
        </w:rPr>
        <w:t>Our first review is an assessment of ASIC</w:t>
      </w:r>
      <w:r w:rsidR="00EF40B0">
        <w:rPr>
          <w:rFonts w:cs="Calibri"/>
          <w:szCs w:val="22"/>
        </w:rPr>
        <w:t>’</w:t>
      </w:r>
      <w:r w:rsidRPr="00A45881">
        <w:rPr>
          <w:rFonts w:cs="Calibri"/>
          <w:szCs w:val="22"/>
        </w:rPr>
        <w:t>s activities in the following areas: </w:t>
      </w:r>
    </w:p>
    <w:p w14:paraId="56A17E70" w14:textId="25E4CE08" w:rsidR="00A45881" w:rsidRPr="00A45881" w:rsidRDefault="00A45881" w:rsidP="00812515">
      <w:pPr>
        <w:pStyle w:val="Bulletleft"/>
      </w:pPr>
      <w:r w:rsidRPr="00A45881">
        <w:t>strategic prioritisation, planning and decision</w:t>
      </w:r>
      <w:r w:rsidR="00EF40B0">
        <w:noBreakHyphen/>
      </w:r>
      <w:r w:rsidRPr="00A45881">
        <w:t>making </w:t>
      </w:r>
    </w:p>
    <w:p w14:paraId="0C7C733F" w14:textId="32CE6853" w:rsidR="00A45881" w:rsidRPr="00A45881" w:rsidRDefault="00A45881" w:rsidP="00812515">
      <w:pPr>
        <w:pStyle w:val="Bulletleft"/>
      </w:pPr>
      <w:r w:rsidRPr="00A45881">
        <w:t>surveillance</w:t>
      </w:r>
    </w:p>
    <w:p w14:paraId="1D5DE239" w14:textId="1E8178F3" w:rsidR="00A45881" w:rsidRPr="00A45881" w:rsidRDefault="00A45881" w:rsidP="00812515">
      <w:pPr>
        <w:pStyle w:val="Bulletleft"/>
      </w:pPr>
      <w:r w:rsidRPr="00A45881">
        <w:t>licensing</w:t>
      </w:r>
      <w:r w:rsidR="001A1CBE">
        <w:t xml:space="preserve">. </w:t>
      </w:r>
    </w:p>
    <w:p w14:paraId="192A8B3C" w14:textId="51FEFE4A" w:rsidR="00A45881" w:rsidRPr="00A45881" w:rsidRDefault="00A45881" w:rsidP="00A45881">
      <w:pPr>
        <w:textAlignment w:val="baseline"/>
        <w:rPr>
          <w:rFonts w:ascii="Segoe UI" w:hAnsi="Segoe UI" w:cs="Segoe UI"/>
          <w:sz w:val="18"/>
          <w:szCs w:val="18"/>
        </w:rPr>
      </w:pPr>
      <w:r w:rsidRPr="00A45881">
        <w:rPr>
          <w:rFonts w:cs="Calibri"/>
          <w:szCs w:val="22"/>
        </w:rPr>
        <w:t>Our views and recommendations are based on evidence gathered from a range of sources including public consultation, surveys of ASIC staff and stakeholders, meetings with ASIC senior leaders and consultation with peer regulators, industry and consumer advocacy bodies and academics. </w:t>
      </w:r>
    </w:p>
    <w:p w14:paraId="0D2D3D9C" w14:textId="6BCBDCA4" w:rsidR="00A45881" w:rsidRPr="00EC3A34" w:rsidRDefault="7DE336EE" w:rsidP="00A45881">
      <w:pPr>
        <w:textAlignment w:val="baseline"/>
        <w:rPr>
          <w:rFonts w:ascii="Segoe UI" w:hAnsi="Segoe UI" w:cs="Segoe UI"/>
          <w:sz w:val="18"/>
          <w:szCs w:val="18"/>
        </w:rPr>
      </w:pPr>
      <w:r w:rsidRPr="47461EE2">
        <w:rPr>
          <w:rFonts w:cs="Calibri"/>
        </w:rPr>
        <w:t xml:space="preserve">In our view ASIC is generally effective and capable in the areas reviewed, although there are important opportunities to enhance its performance. In this report we make recommendations which if implemented </w:t>
      </w:r>
      <w:r w:rsidR="00143E78">
        <w:rPr>
          <w:rFonts w:cs="Calibri"/>
        </w:rPr>
        <w:t>we believe should</w:t>
      </w:r>
      <w:r w:rsidRPr="47461EE2">
        <w:rPr>
          <w:rFonts w:cs="Calibri"/>
        </w:rPr>
        <w:t xml:space="preserve"> improve the effectiveness and capability of ASIC. During this review, ASIC initiated several projects in the areas we identified. </w:t>
      </w:r>
    </w:p>
    <w:p w14:paraId="4EF32263" w14:textId="04C41D33" w:rsidR="00A45881" w:rsidRDefault="00A45881" w:rsidP="00A45881">
      <w:pPr>
        <w:textAlignment w:val="baseline"/>
        <w:rPr>
          <w:rFonts w:cs="Calibri"/>
          <w:szCs w:val="22"/>
        </w:rPr>
      </w:pPr>
      <w:r w:rsidRPr="00EC3A34">
        <w:rPr>
          <w:rFonts w:cs="Calibri"/>
          <w:szCs w:val="22"/>
        </w:rPr>
        <w:t xml:space="preserve">Notwithstanding areas </w:t>
      </w:r>
      <w:r w:rsidR="00B35630" w:rsidRPr="00EC3A34">
        <w:rPr>
          <w:rFonts w:cs="Calibri"/>
          <w:szCs w:val="22"/>
        </w:rPr>
        <w:t>of</w:t>
      </w:r>
      <w:r w:rsidRPr="00EC3A34">
        <w:rPr>
          <w:rFonts w:cs="Calibri"/>
          <w:szCs w:val="22"/>
        </w:rPr>
        <w:t xml:space="preserve"> improvement</w:t>
      </w:r>
      <w:r w:rsidR="00B35630" w:rsidRPr="00EC3A34">
        <w:rPr>
          <w:rFonts w:cs="Calibri"/>
          <w:szCs w:val="22"/>
        </w:rPr>
        <w:t xml:space="preserve">, </w:t>
      </w:r>
      <w:r w:rsidRPr="00EC3A34">
        <w:rPr>
          <w:rFonts w:cs="Calibri"/>
          <w:szCs w:val="22"/>
        </w:rPr>
        <w:t>it is well recognised that Australia has a world leading financial system to which ASIC</w:t>
      </w:r>
      <w:r w:rsidR="00EF40B0">
        <w:rPr>
          <w:rFonts w:cs="Calibri"/>
          <w:szCs w:val="22"/>
        </w:rPr>
        <w:t>’</w:t>
      </w:r>
      <w:r w:rsidRPr="00EC3A34">
        <w:rPr>
          <w:rFonts w:cs="Calibri"/>
          <w:szCs w:val="22"/>
        </w:rPr>
        <w:t>s contribution is crucial.</w:t>
      </w:r>
      <w:r w:rsidRPr="00A45881">
        <w:rPr>
          <w:rFonts w:cs="Calibri"/>
          <w:szCs w:val="22"/>
        </w:rPr>
        <w:t> </w:t>
      </w:r>
    </w:p>
    <w:p w14:paraId="1EC1BE94" w14:textId="5EB165A4" w:rsidR="00A45881" w:rsidRPr="00A45881" w:rsidRDefault="7DE336EE" w:rsidP="00A45881">
      <w:pPr>
        <w:textAlignment w:val="baseline"/>
        <w:rPr>
          <w:rFonts w:ascii="Segoe UI" w:hAnsi="Segoe UI" w:cs="Segoe UI"/>
          <w:sz w:val="18"/>
          <w:szCs w:val="18"/>
        </w:rPr>
      </w:pPr>
      <w:r w:rsidRPr="1FB0DE1D">
        <w:rPr>
          <w:rFonts w:cs="Calibri"/>
        </w:rPr>
        <w:t>We wish to acknowledge the work of Ms Gina Cass</w:t>
      </w:r>
      <w:r w:rsidR="00EF40B0">
        <w:rPr>
          <w:rFonts w:cs="Calibri"/>
          <w:szCs w:val="22"/>
        </w:rPr>
        <w:noBreakHyphen/>
      </w:r>
      <w:r w:rsidRPr="1FB0DE1D">
        <w:rPr>
          <w:rFonts w:cs="Calibri"/>
        </w:rPr>
        <w:t>Gottlieb as an inaugural member of the FRAA. </w:t>
      </w:r>
    </w:p>
    <w:p w14:paraId="1A51B03C" w14:textId="4036D3CF" w:rsidR="00A45881" w:rsidRPr="00A45881" w:rsidRDefault="00A45881" w:rsidP="00A45881">
      <w:pPr>
        <w:textAlignment w:val="baseline"/>
        <w:rPr>
          <w:rFonts w:ascii="Segoe UI" w:hAnsi="Segoe UI" w:cs="Segoe UI"/>
          <w:sz w:val="18"/>
          <w:szCs w:val="18"/>
        </w:rPr>
      </w:pPr>
      <w:r w:rsidRPr="00A45881">
        <w:rPr>
          <w:rFonts w:cs="Calibri"/>
          <w:szCs w:val="22"/>
        </w:rPr>
        <w:t>We commend the report to you. </w:t>
      </w:r>
    </w:p>
    <w:p w14:paraId="027250C7" w14:textId="29441542" w:rsidR="00106A12" w:rsidRDefault="00106A12" w:rsidP="00A45881">
      <w:pPr>
        <w:pStyle w:val="PlainText"/>
        <w:spacing w:before="120" w:after="120"/>
      </w:pPr>
    </w:p>
    <w:p w14:paraId="19CA33EC" w14:textId="123E020C" w:rsidR="00BC3073" w:rsidRPr="00E9599E" w:rsidRDefault="00BC3073" w:rsidP="00A45881">
      <w:pPr>
        <w:pStyle w:val="PlainText"/>
        <w:spacing w:before="120" w:after="120"/>
      </w:pPr>
    </w:p>
    <w:p w14:paraId="53D4DEDA" w14:textId="77777777" w:rsidR="00F80901" w:rsidRPr="006E3DDE" w:rsidRDefault="00F80901" w:rsidP="00F80901">
      <w:pPr>
        <w:rPr>
          <w:rFonts w:cstheme="minorHAnsi"/>
        </w:rPr>
      </w:pPr>
      <w:r w:rsidRPr="006E3DDE">
        <w:rPr>
          <w:rFonts w:cstheme="minorHAnsi"/>
        </w:rPr>
        <w:t xml:space="preserve">Yours sincerely </w:t>
      </w:r>
    </w:p>
    <w:tbl>
      <w:tblPr>
        <w:tblStyle w:val="TableGrid"/>
        <w:tblW w:w="9175" w:type="dxa"/>
        <w:tblCellMar>
          <w:left w:w="0" w:type="dxa"/>
          <w:right w:w="0" w:type="dxa"/>
        </w:tblCellMar>
        <w:tblLook w:val="04A0" w:firstRow="1" w:lastRow="0" w:firstColumn="1" w:lastColumn="0" w:noHBand="0" w:noVBand="1"/>
      </w:tblPr>
      <w:tblGrid>
        <w:gridCol w:w="3058"/>
        <w:gridCol w:w="3058"/>
        <w:gridCol w:w="3059"/>
      </w:tblGrid>
      <w:tr w:rsidR="00E52FBA" w:rsidRPr="006E3DDE" w14:paraId="58B0AB25" w14:textId="77777777" w:rsidTr="00BC3073">
        <w:tc>
          <w:tcPr>
            <w:tcW w:w="3058" w:type="dxa"/>
            <w:shd w:val="clear" w:color="auto" w:fill="auto"/>
            <w:vAlign w:val="bottom"/>
          </w:tcPr>
          <w:p w14:paraId="15AA7882" w14:textId="2041CD6B" w:rsidR="00BC3073" w:rsidRDefault="00BC3073" w:rsidP="00BC3073">
            <w:pPr>
              <w:spacing w:after="0"/>
              <w:jc w:val="left"/>
              <w:rPr>
                <w:rFonts w:asciiTheme="minorHAnsi" w:hAnsiTheme="minorHAnsi" w:cstheme="minorHAnsi"/>
                <w:sz w:val="22"/>
                <w:szCs w:val="22"/>
              </w:rPr>
            </w:pPr>
            <w:r>
              <w:rPr>
                <w:rFonts w:cstheme="minorHAnsi"/>
                <w:b/>
                <w:bCs/>
                <w:noProof/>
              </w:rPr>
              <w:drawing>
                <wp:inline distT="0" distB="0" distL="0" distR="0" wp14:anchorId="17725100" wp14:editId="77038581">
                  <wp:extent cx="1051560" cy="7588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1560" cy="758825"/>
                          </a:xfrm>
                          <a:prstGeom prst="rect">
                            <a:avLst/>
                          </a:prstGeom>
                          <a:noFill/>
                          <a:ln>
                            <a:noFill/>
                          </a:ln>
                        </pic:spPr>
                      </pic:pic>
                    </a:graphicData>
                  </a:graphic>
                </wp:inline>
              </w:drawing>
            </w:r>
          </w:p>
          <w:p w14:paraId="6BBBA478" w14:textId="6B0E10E1" w:rsidR="00F80901" w:rsidRPr="006E3DDE" w:rsidRDefault="00F80901" w:rsidP="00BC3073">
            <w:pPr>
              <w:spacing w:after="0"/>
              <w:jc w:val="left"/>
              <w:rPr>
                <w:rFonts w:asciiTheme="minorHAnsi" w:hAnsiTheme="minorHAnsi" w:cstheme="minorHAnsi"/>
                <w:sz w:val="22"/>
                <w:szCs w:val="22"/>
              </w:rPr>
            </w:pPr>
            <w:r w:rsidRPr="006E3DDE">
              <w:rPr>
                <w:rFonts w:asciiTheme="minorHAnsi" w:hAnsiTheme="minorHAnsi" w:cstheme="minorHAnsi"/>
                <w:sz w:val="22"/>
                <w:szCs w:val="22"/>
              </w:rPr>
              <w:t>Nicholas Moore</w:t>
            </w:r>
          </w:p>
          <w:p w14:paraId="18A18575" w14:textId="77777777" w:rsidR="00F80901" w:rsidRPr="006E3DDE" w:rsidRDefault="00F80901" w:rsidP="00BC3073">
            <w:pPr>
              <w:spacing w:after="0"/>
              <w:jc w:val="left"/>
              <w:rPr>
                <w:rFonts w:asciiTheme="minorHAnsi" w:hAnsiTheme="minorHAnsi" w:cstheme="minorHAnsi"/>
                <w:sz w:val="22"/>
                <w:szCs w:val="22"/>
              </w:rPr>
            </w:pPr>
            <w:r w:rsidRPr="006E3DDE">
              <w:rPr>
                <w:rFonts w:asciiTheme="minorHAnsi" w:hAnsiTheme="minorHAnsi" w:cstheme="minorHAnsi"/>
                <w:sz w:val="22"/>
                <w:szCs w:val="22"/>
              </w:rPr>
              <w:t>Chair</w:t>
            </w:r>
          </w:p>
        </w:tc>
        <w:tc>
          <w:tcPr>
            <w:tcW w:w="3058" w:type="dxa"/>
            <w:shd w:val="clear" w:color="auto" w:fill="auto"/>
            <w:vAlign w:val="bottom"/>
          </w:tcPr>
          <w:p w14:paraId="6D24BCAE" w14:textId="2FF5F34B" w:rsidR="00BC3073" w:rsidRDefault="00BC3073" w:rsidP="00BC3073">
            <w:pPr>
              <w:spacing w:after="0"/>
              <w:ind w:left="-170"/>
              <w:jc w:val="left"/>
              <w:rPr>
                <w:rFonts w:asciiTheme="minorHAnsi" w:hAnsiTheme="minorHAnsi" w:cstheme="minorHAnsi"/>
                <w:sz w:val="22"/>
                <w:szCs w:val="22"/>
              </w:rPr>
            </w:pPr>
            <w:r>
              <w:rPr>
                <w:noProof/>
              </w:rPr>
              <w:drawing>
                <wp:inline distT="0" distB="0" distL="0" distR="0" wp14:anchorId="09834D4E" wp14:editId="7CBA2BD4">
                  <wp:extent cx="1377950" cy="51816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7950" cy="518160"/>
                          </a:xfrm>
                          <a:prstGeom prst="rect">
                            <a:avLst/>
                          </a:prstGeom>
                          <a:noFill/>
                          <a:ln>
                            <a:noFill/>
                          </a:ln>
                        </pic:spPr>
                      </pic:pic>
                    </a:graphicData>
                  </a:graphic>
                </wp:inline>
              </w:drawing>
            </w:r>
          </w:p>
          <w:p w14:paraId="0789A8B5" w14:textId="09CBDE88" w:rsidR="00F80901" w:rsidRPr="006E3DDE" w:rsidRDefault="00F80901" w:rsidP="00BC3073">
            <w:pPr>
              <w:spacing w:after="0"/>
              <w:jc w:val="left"/>
              <w:rPr>
                <w:rFonts w:asciiTheme="minorHAnsi" w:hAnsiTheme="minorHAnsi" w:cstheme="minorHAnsi"/>
                <w:sz w:val="22"/>
                <w:szCs w:val="22"/>
              </w:rPr>
            </w:pPr>
            <w:r w:rsidRPr="006E3DDE">
              <w:rPr>
                <w:rFonts w:asciiTheme="minorHAnsi" w:hAnsiTheme="minorHAnsi" w:cstheme="minorHAnsi"/>
                <w:sz w:val="22"/>
                <w:szCs w:val="22"/>
              </w:rPr>
              <w:t>Fiona Crosbie</w:t>
            </w:r>
          </w:p>
          <w:p w14:paraId="4719DB01" w14:textId="77777777" w:rsidR="00F80901" w:rsidRPr="006E3DDE" w:rsidRDefault="00F80901" w:rsidP="00BC3073">
            <w:pPr>
              <w:spacing w:after="0"/>
              <w:jc w:val="left"/>
              <w:rPr>
                <w:rFonts w:asciiTheme="minorHAnsi" w:hAnsiTheme="minorHAnsi" w:cstheme="minorHAnsi"/>
                <w:sz w:val="22"/>
                <w:szCs w:val="22"/>
              </w:rPr>
            </w:pPr>
            <w:r w:rsidRPr="006E3DDE">
              <w:rPr>
                <w:rFonts w:asciiTheme="minorHAnsi" w:hAnsiTheme="minorHAnsi" w:cstheme="minorHAnsi"/>
                <w:sz w:val="22"/>
                <w:szCs w:val="22"/>
              </w:rPr>
              <w:t>Member</w:t>
            </w:r>
          </w:p>
        </w:tc>
        <w:tc>
          <w:tcPr>
            <w:tcW w:w="3059" w:type="dxa"/>
            <w:shd w:val="clear" w:color="auto" w:fill="auto"/>
            <w:vAlign w:val="bottom"/>
          </w:tcPr>
          <w:p w14:paraId="21145992" w14:textId="13182AB3" w:rsidR="00BC3073" w:rsidRDefault="00BC3073" w:rsidP="00BC3073">
            <w:pPr>
              <w:spacing w:after="0"/>
              <w:ind w:left="-454"/>
              <w:jc w:val="left"/>
              <w:rPr>
                <w:rFonts w:asciiTheme="minorHAnsi" w:hAnsiTheme="minorHAnsi" w:cstheme="minorHAnsi"/>
                <w:sz w:val="22"/>
                <w:szCs w:val="22"/>
              </w:rPr>
            </w:pPr>
            <w:r>
              <w:rPr>
                <w:noProof/>
              </w:rPr>
              <w:drawing>
                <wp:inline distT="0" distB="0" distL="0" distR="0" wp14:anchorId="212AD0AC" wp14:editId="79D94B7F">
                  <wp:extent cx="1911350" cy="73152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350" cy="731520"/>
                          </a:xfrm>
                          <a:prstGeom prst="rect">
                            <a:avLst/>
                          </a:prstGeom>
                          <a:noFill/>
                          <a:ln>
                            <a:noFill/>
                          </a:ln>
                        </pic:spPr>
                      </pic:pic>
                    </a:graphicData>
                  </a:graphic>
                </wp:inline>
              </w:drawing>
            </w:r>
          </w:p>
          <w:p w14:paraId="45F3987E" w14:textId="4780539C" w:rsidR="00F80901" w:rsidRPr="006E3DDE" w:rsidRDefault="00F80901" w:rsidP="00BC3073">
            <w:pPr>
              <w:spacing w:after="0"/>
              <w:jc w:val="left"/>
              <w:rPr>
                <w:rFonts w:asciiTheme="minorHAnsi" w:hAnsiTheme="minorHAnsi" w:cstheme="minorHAnsi"/>
                <w:sz w:val="22"/>
                <w:szCs w:val="22"/>
              </w:rPr>
            </w:pPr>
            <w:r w:rsidRPr="006E3DDE">
              <w:rPr>
                <w:rFonts w:asciiTheme="minorHAnsi" w:hAnsiTheme="minorHAnsi" w:cstheme="minorHAnsi"/>
                <w:sz w:val="22"/>
                <w:szCs w:val="22"/>
              </w:rPr>
              <w:t>Craig Drummond</w:t>
            </w:r>
          </w:p>
          <w:p w14:paraId="2D2DFF87" w14:textId="77777777" w:rsidR="00F80901" w:rsidRPr="006E3DDE" w:rsidRDefault="00F80901" w:rsidP="00BC3073">
            <w:pPr>
              <w:spacing w:after="0"/>
              <w:jc w:val="left"/>
              <w:rPr>
                <w:rFonts w:asciiTheme="minorHAnsi" w:hAnsiTheme="minorHAnsi" w:cstheme="minorHAnsi"/>
                <w:sz w:val="22"/>
                <w:szCs w:val="22"/>
              </w:rPr>
            </w:pPr>
            <w:r w:rsidRPr="006E3DDE">
              <w:rPr>
                <w:rFonts w:asciiTheme="minorHAnsi" w:hAnsiTheme="minorHAnsi" w:cstheme="minorHAnsi"/>
                <w:sz w:val="22"/>
                <w:szCs w:val="22"/>
              </w:rPr>
              <w:t>Member</w:t>
            </w:r>
          </w:p>
        </w:tc>
      </w:tr>
    </w:tbl>
    <w:p w14:paraId="6B304A4B" w14:textId="0444F378" w:rsidR="00D46679" w:rsidRPr="00D46679" w:rsidRDefault="00D46679" w:rsidP="00D46679">
      <w:pPr>
        <w:sectPr w:rsidR="00D46679" w:rsidRPr="00D46679" w:rsidSect="00F559D9">
          <w:footerReference w:type="first" r:id="rId22"/>
          <w:type w:val="oddPage"/>
          <w:pgSz w:w="11906" w:h="16838" w:code="9"/>
          <w:pgMar w:top="1418" w:right="1418" w:bottom="1418" w:left="1418" w:header="709" w:footer="709" w:gutter="0"/>
          <w:pgNumType w:fmt="lowerRoman"/>
          <w:cols w:space="708"/>
          <w:titlePg/>
          <w:docGrid w:linePitch="360"/>
        </w:sectPr>
      </w:pPr>
    </w:p>
    <w:p w14:paraId="369F17CE" w14:textId="77777777" w:rsidR="000E0B74" w:rsidRDefault="000E0B74" w:rsidP="001F1B27">
      <w:pPr>
        <w:pStyle w:val="Heading1"/>
      </w:pPr>
      <w:bookmarkStart w:id="1" w:name="_Toc109640296"/>
      <w:bookmarkStart w:id="2" w:name="_Toc109640356"/>
      <w:bookmarkStart w:id="3" w:name="_Toc110241800"/>
      <w:r w:rsidRPr="001F1B27">
        <w:lastRenderedPageBreak/>
        <w:t>Contents</w:t>
      </w:r>
      <w:bookmarkEnd w:id="1"/>
      <w:bookmarkEnd w:id="2"/>
      <w:bookmarkEnd w:id="3"/>
    </w:p>
    <w:bookmarkStart w:id="4" w:name="_Toc432067103"/>
    <w:bookmarkStart w:id="5" w:name="_Toc452635030"/>
    <w:p w14:paraId="0236A0E5" w14:textId="1C67DC4C" w:rsidR="000418C3" w:rsidRDefault="00F559D9">
      <w:pPr>
        <w:pStyle w:val="TOC1"/>
        <w:rPr>
          <w:rFonts w:asciiTheme="minorHAnsi" w:eastAsiaTheme="minorEastAsia" w:hAnsiTheme="minorHAnsi" w:cstheme="minorBidi"/>
          <w:b w:val="0"/>
          <w:color w:val="auto"/>
        </w:rPr>
      </w:pPr>
      <w:r>
        <w:rPr>
          <w:b w:val="0"/>
          <w:color w:val="004A7F"/>
        </w:rPr>
        <w:fldChar w:fldCharType="begin"/>
      </w:r>
      <w:r>
        <w:rPr>
          <w:b w:val="0"/>
          <w:color w:val="004A7F"/>
        </w:rPr>
        <w:instrText xml:space="preserve"> TOC \o "1-2" \h \z </w:instrText>
      </w:r>
      <w:r>
        <w:rPr>
          <w:b w:val="0"/>
          <w:color w:val="004A7F"/>
        </w:rPr>
        <w:fldChar w:fldCharType="separate"/>
      </w:r>
      <w:hyperlink w:anchor="_Toc110241801" w:history="1">
        <w:r w:rsidR="000418C3" w:rsidRPr="0037141E">
          <w:rPr>
            <w:rStyle w:val="Hyperlink"/>
          </w:rPr>
          <w:t>Acknowledgments</w:t>
        </w:r>
        <w:r w:rsidR="000418C3">
          <w:rPr>
            <w:webHidden/>
          </w:rPr>
          <w:tab/>
        </w:r>
        <w:r w:rsidR="000418C3">
          <w:rPr>
            <w:webHidden/>
          </w:rPr>
          <w:fldChar w:fldCharType="begin"/>
        </w:r>
        <w:r w:rsidR="000418C3">
          <w:rPr>
            <w:webHidden/>
          </w:rPr>
          <w:instrText xml:space="preserve"> PAGEREF _Toc110241801 \h </w:instrText>
        </w:r>
        <w:r w:rsidR="000418C3">
          <w:rPr>
            <w:webHidden/>
          </w:rPr>
        </w:r>
        <w:r w:rsidR="000418C3">
          <w:rPr>
            <w:webHidden/>
          </w:rPr>
          <w:fldChar w:fldCharType="separate"/>
        </w:r>
        <w:r w:rsidR="00A6032A">
          <w:rPr>
            <w:webHidden/>
          </w:rPr>
          <w:t>1</w:t>
        </w:r>
        <w:r w:rsidR="000418C3">
          <w:rPr>
            <w:webHidden/>
          </w:rPr>
          <w:fldChar w:fldCharType="end"/>
        </w:r>
      </w:hyperlink>
    </w:p>
    <w:p w14:paraId="04C72E56" w14:textId="1DBBA64B" w:rsidR="000418C3" w:rsidRDefault="00D718CA">
      <w:pPr>
        <w:pStyle w:val="TOC1"/>
        <w:rPr>
          <w:rFonts w:asciiTheme="minorHAnsi" w:eastAsiaTheme="minorEastAsia" w:hAnsiTheme="minorHAnsi" w:cstheme="minorBidi"/>
          <w:b w:val="0"/>
          <w:color w:val="auto"/>
        </w:rPr>
      </w:pPr>
      <w:hyperlink w:anchor="_Toc110241802" w:history="1">
        <w:r w:rsidR="000418C3" w:rsidRPr="0037141E">
          <w:rPr>
            <w:rStyle w:val="Hyperlink"/>
          </w:rPr>
          <w:t>Executive summary</w:t>
        </w:r>
        <w:r w:rsidR="000418C3">
          <w:rPr>
            <w:webHidden/>
          </w:rPr>
          <w:tab/>
        </w:r>
        <w:r w:rsidR="000418C3">
          <w:rPr>
            <w:webHidden/>
          </w:rPr>
          <w:fldChar w:fldCharType="begin"/>
        </w:r>
        <w:r w:rsidR="000418C3">
          <w:rPr>
            <w:webHidden/>
          </w:rPr>
          <w:instrText xml:space="preserve"> PAGEREF _Toc110241802 \h </w:instrText>
        </w:r>
        <w:r w:rsidR="000418C3">
          <w:rPr>
            <w:webHidden/>
          </w:rPr>
        </w:r>
        <w:r w:rsidR="000418C3">
          <w:rPr>
            <w:webHidden/>
          </w:rPr>
          <w:fldChar w:fldCharType="separate"/>
        </w:r>
        <w:r w:rsidR="00A6032A">
          <w:rPr>
            <w:webHidden/>
          </w:rPr>
          <w:t>3</w:t>
        </w:r>
        <w:r w:rsidR="000418C3">
          <w:rPr>
            <w:webHidden/>
          </w:rPr>
          <w:fldChar w:fldCharType="end"/>
        </w:r>
      </w:hyperlink>
    </w:p>
    <w:p w14:paraId="6849551C" w14:textId="406EA210" w:rsidR="000418C3" w:rsidRDefault="00D718CA">
      <w:pPr>
        <w:pStyle w:val="TOC2"/>
        <w:rPr>
          <w:rFonts w:asciiTheme="minorHAnsi" w:eastAsiaTheme="minorEastAsia" w:hAnsiTheme="minorHAnsi" w:cstheme="minorBidi"/>
          <w:color w:val="auto"/>
          <w:szCs w:val="22"/>
        </w:rPr>
      </w:pPr>
      <w:hyperlink w:anchor="_Toc110241803" w:history="1">
        <w:r w:rsidR="000418C3" w:rsidRPr="0037141E">
          <w:rPr>
            <w:rStyle w:val="Hyperlink"/>
          </w:rPr>
          <w:t>Recommendations</w:t>
        </w:r>
        <w:r w:rsidR="000418C3">
          <w:rPr>
            <w:webHidden/>
          </w:rPr>
          <w:tab/>
        </w:r>
        <w:r w:rsidR="000418C3">
          <w:rPr>
            <w:webHidden/>
          </w:rPr>
          <w:fldChar w:fldCharType="begin"/>
        </w:r>
        <w:r w:rsidR="000418C3">
          <w:rPr>
            <w:webHidden/>
          </w:rPr>
          <w:instrText xml:space="preserve"> PAGEREF _Toc110241803 \h </w:instrText>
        </w:r>
        <w:r w:rsidR="000418C3">
          <w:rPr>
            <w:webHidden/>
          </w:rPr>
        </w:r>
        <w:r w:rsidR="000418C3">
          <w:rPr>
            <w:webHidden/>
          </w:rPr>
          <w:fldChar w:fldCharType="separate"/>
        </w:r>
        <w:r w:rsidR="00A6032A">
          <w:rPr>
            <w:webHidden/>
          </w:rPr>
          <w:t>3</w:t>
        </w:r>
        <w:r w:rsidR="000418C3">
          <w:rPr>
            <w:webHidden/>
          </w:rPr>
          <w:fldChar w:fldCharType="end"/>
        </w:r>
      </w:hyperlink>
    </w:p>
    <w:p w14:paraId="60530906" w14:textId="5616669D" w:rsidR="000418C3" w:rsidRDefault="00D718CA">
      <w:pPr>
        <w:pStyle w:val="TOC2"/>
        <w:rPr>
          <w:rFonts w:asciiTheme="minorHAnsi" w:eastAsiaTheme="minorEastAsia" w:hAnsiTheme="minorHAnsi" w:cstheme="minorBidi"/>
          <w:color w:val="auto"/>
          <w:szCs w:val="22"/>
        </w:rPr>
      </w:pPr>
      <w:hyperlink w:anchor="_Toc110241804" w:history="1">
        <w:r w:rsidR="000418C3" w:rsidRPr="0037141E">
          <w:rPr>
            <w:rStyle w:val="Hyperlink"/>
          </w:rPr>
          <w:t>Inaugural review of ASIC</w:t>
        </w:r>
        <w:r w:rsidR="000418C3">
          <w:rPr>
            <w:webHidden/>
          </w:rPr>
          <w:tab/>
        </w:r>
        <w:r w:rsidR="000418C3">
          <w:rPr>
            <w:webHidden/>
          </w:rPr>
          <w:fldChar w:fldCharType="begin"/>
        </w:r>
        <w:r w:rsidR="000418C3">
          <w:rPr>
            <w:webHidden/>
          </w:rPr>
          <w:instrText xml:space="preserve"> PAGEREF _Toc110241804 \h </w:instrText>
        </w:r>
        <w:r w:rsidR="000418C3">
          <w:rPr>
            <w:webHidden/>
          </w:rPr>
        </w:r>
        <w:r w:rsidR="000418C3">
          <w:rPr>
            <w:webHidden/>
          </w:rPr>
          <w:fldChar w:fldCharType="separate"/>
        </w:r>
        <w:r w:rsidR="00A6032A">
          <w:rPr>
            <w:webHidden/>
          </w:rPr>
          <w:t>4</w:t>
        </w:r>
        <w:r w:rsidR="000418C3">
          <w:rPr>
            <w:webHidden/>
          </w:rPr>
          <w:fldChar w:fldCharType="end"/>
        </w:r>
      </w:hyperlink>
    </w:p>
    <w:p w14:paraId="6C8E1161" w14:textId="1ADF3E26" w:rsidR="000418C3" w:rsidRDefault="00D718CA">
      <w:pPr>
        <w:pStyle w:val="TOC2"/>
        <w:rPr>
          <w:rFonts w:asciiTheme="minorHAnsi" w:eastAsiaTheme="minorEastAsia" w:hAnsiTheme="minorHAnsi" w:cstheme="minorBidi"/>
          <w:color w:val="auto"/>
          <w:szCs w:val="22"/>
        </w:rPr>
      </w:pPr>
      <w:hyperlink w:anchor="_Toc110241805" w:history="1">
        <w:r w:rsidR="000418C3" w:rsidRPr="0037141E">
          <w:rPr>
            <w:rStyle w:val="Hyperlink"/>
          </w:rPr>
          <w:t>Themes</w:t>
        </w:r>
        <w:r w:rsidR="000418C3">
          <w:rPr>
            <w:webHidden/>
          </w:rPr>
          <w:tab/>
        </w:r>
        <w:r w:rsidR="000418C3">
          <w:rPr>
            <w:webHidden/>
          </w:rPr>
          <w:fldChar w:fldCharType="begin"/>
        </w:r>
        <w:r w:rsidR="000418C3">
          <w:rPr>
            <w:webHidden/>
          </w:rPr>
          <w:instrText xml:space="preserve"> PAGEREF _Toc110241805 \h </w:instrText>
        </w:r>
        <w:r w:rsidR="000418C3">
          <w:rPr>
            <w:webHidden/>
          </w:rPr>
        </w:r>
        <w:r w:rsidR="000418C3">
          <w:rPr>
            <w:webHidden/>
          </w:rPr>
          <w:fldChar w:fldCharType="separate"/>
        </w:r>
        <w:r w:rsidR="00A6032A">
          <w:rPr>
            <w:webHidden/>
          </w:rPr>
          <w:t>4</w:t>
        </w:r>
        <w:r w:rsidR="000418C3">
          <w:rPr>
            <w:webHidden/>
          </w:rPr>
          <w:fldChar w:fldCharType="end"/>
        </w:r>
      </w:hyperlink>
    </w:p>
    <w:p w14:paraId="213DAD27" w14:textId="5B869026" w:rsidR="000418C3" w:rsidRDefault="00D718CA">
      <w:pPr>
        <w:pStyle w:val="TOC2"/>
        <w:rPr>
          <w:rFonts w:asciiTheme="minorHAnsi" w:eastAsiaTheme="minorEastAsia" w:hAnsiTheme="minorHAnsi" w:cstheme="minorBidi"/>
          <w:color w:val="auto"/>
          <w:szCs w:val="22"/>
        </w:rPr>
      </w:pPr>
      <w:hyperlink w:anchor="_Toc110241806" w:history="1">
        <w:r w:rsidR="000418C3" w:rsidRPr="0037141E">
          <w:rPr>
            <w:rStyle w:val="Hyperlink"/>
          </w:rPr>
          <w:t>Future actions</w:t>
        </w:r>
        <w:r w:rsidR="000418C3">
          <w:rPr>
            <w:webHidden/>
          </w:rPr>
          <w:tab/>
        </w:r>
        <w:r w:rsidR="000418C3">
          <w:rPr>
            <w:webHidden/>
          </w:rPr>
          <w:fldChar w:fldCharType="begin"/>
        </w:r>
        <w:r w:rsidR="000418C3">
          <w:rPr>
            <w:webHidden/>
          </w:rPr>
          <w:instrText xml:space="preserve"> PAGEREF _Toc110241806 \h </w:instrText>
        </w:r>
        <w:r w:rsidR="000418C3">
          <w:rPr>
            <w:webHidden/>
          </w:rPr>
        </w:r>
        <w:r w:rsidR="000418C3">
          <w:rPr>
            <w:webHidden/>
          </w:rPr>
          <w:fldChar w:fldCharType="separate"/>
        </w:r>
        <w:r w:rsidR="00A6032A">
          <w:rPr>
            <w:webHidden/>
          </w:rPr>
          <w:t>6</w:t>
        </w:r>
        <w:r w:rsidR="000418C3">
          <w:rPr>
            <w:webHidden/>
          </w:rPr>
          <w:fldChar w:fldCharType="end"/>
        </w:r>
      </w:hyperlink>
    </w:p>
    <w:p w14:paraId="56286ED5" w14:textId="59948262" w:rsidR="000418C3" w:rsidRDefault="00D718CA">
      <w:pPr>
        <w:pStyle w:val="TOC2"/>
        <w:rPr>
          <w:rFonts w:asciiTheme="minorHAnsi" w:eastAsiaTheme="minorEastAsia" w:hAnsiTheme="minorHAnsi" w:cstheme="minorBidi"/>
          <w:color w:val="auto"/>
          <w:szCs w:val="22"/>
        </w:rPr>
      </w:pPr>
      <w:hyperlink w:anchor="_Toc110241807" w:history="1">
        <w:r w:rsidR="000418C3" w:rsidRPr="0037141E">
          <w:rPr>
            <w:rStyle w:val="Hyperlink"/>
          </w:rPr>
          <w:t>Outline of this report</w:t>
        </w:r>
        <w:r w:rsidR="000418C3">
          <w:rPr>
            <w:webHidden/>
          </w:rPr>
          <w:tab/>
        </w:r>
        <w:r w:rsidR="000418C3">
          <w:rPr>
            <w:webHidden/>
          </w:rPr>
          <w:fldChar w:fldCharType="begin"/>
        </w:r>
        <w:r w:rsidR="000418C3">
          <w:rPr>
            <w:webHidden/>
          </w:rPr>
          <w:instrText xml:space="preserve"> PAGEREF _Toc110241807 \h </w:instrText>
        </w:r>
        <w:r w:rsidR="000418C3">
          <w:rPr>
            <w:webHidden/>
          </w:rPr>
        </w:r>
        <w:r w:rsidR="000418C3">
          <w:rPr>
            <w:webHidden/>
          </w:rPr>
          <w:fldChar w:fldCharType="separate"/>
        </w:r>
        <w:r w:rsidR="00A6032A">
          <w:rPr>
            <w:webHidden/>
          </w:rPr>
          <w:t>6</w:t>
        </w:r>
        <w:r w:rsidR="000418C3">
          <w:rPr>
            <w:webHidden/>
          </w:rPr>
          <w:fldChar w:fldCharType="end"/>
        </w:r>
      </w:hyperlink>
    </w:p>
    <w:p w14:paraId="6830CE06" w14:textId="02C92F10" w:rsidR="000418C3" w:rsidRDefault="00D718CA">
      <w:pPr>
        <w:pStyle w:val="TOC1"/>
        <w:rPr>
          <w:rFonts w:asciiTheme="minorHAnsi" w:eastAsiaTheme="minorEastAsia" w:hAnsiTheme="minorHAnsi" w:cstheme="minorBidi"/>
          <w:b w:val="0"/>
          <w:color w:val="auto"/>
        </w:rPr>
      </w:pPr>
      <w:hyperlink w:anchor="_Toc110241808" w:history="1">
        <w:r w:rsidR="000418C3" w:rsidRPr="0037141E">
          <w:rPr>
            <w:rStyle w:val="Hyperlink"/>
          </w:rPr>
          <w:t>Chapter 1: FRAA objectives and methodology</w:t>
        </w:r>
        <w:r w:rsidR="000418C3">
          <w:rPr>
            <w:webHidden/>
          </w:rPr>
          <w:tab/>
        </w:r>
        <w:r w:rsidR="000418C3">
          <w:rPr>
            <w:webHidden/>
          </w:rPr>
          <w:fldChar w:fldCharType="begin"/>
        </w:r>
        <w:r w:rsidR="000418C3">
          <w:rPr>
            <w:webHidden/>
          </w:rPr>
          <w:instrText xml:space="preserve"> PAGEREF _Toc110241808 \h </w:instrText>
        </w:r>
        <w:r w:rsidR="000418C3">
          <w:rPr>
            <w:webHidden/>
          </w:rPr>
        </w:r>
        <w:r w:rsidR="000418C3">
          <w:rPr>
            <w:webHidden/>
          </w:rPr>
          <w:fldChar w:fldCharType="separate"/>
        </w:r>
        <w:r w:rsidR="00A6032A">
          <w:rPr>
            <w:webHidden/>
          </w:rPr>
          <w:t>7</w:t>
        </w:r>
        <w:r w:rsidR="000418C3">
          <w:rPr>
            <w:webHidden/>
          </w:rPr>
          <w:fldChar w:fldCharType="end"/>
        </w:r>
      </w:hyperlink>
    </w:p>
    <w:p w14:paraId="335CA48E" w14:textId="74BF5264" w:rsidR="000418C3" w:rsidRDefault="00D718CA">
      <w:pPr>
        <w:pStyle w:val="TOC2"/>
        <w:rPr>
          <w:rFonts w:asciiTheme="minorHAnsi" w:eastAsiaTheme="minorEastAsia" w:hAnsiTheme="minorHAnsi" w:cstheme="minorBidi"/>
          <w:color w:val="auto"/>
          <w:szCs w:val="22"/>
        </w:rPr>
      </w:pPr>
      <w:hyperlink w:anchor="_Toc110241809" w:history="1">
        <w:r w:rsidR="000418C3" w:rsidRPr="0037141E">
          <w:rPr>
            <w:rStyle w:val="Hyperlink"/>
            <w:rFonts w:eastAsiaTheme="minorHAnsi"/>
          </w:rPr>
          <w:t>Overview of the FRAA</w:t>
        </w:r>
        <w:r w:rsidR="000418C3">
          <w:rPr>
            <w:webHidden/>
          </w:rPr>
          <w:tab/>
        </w:r>
        <w:r w:rsidR="000418C3">
          <w:rPr>
            <w:webHidden/>
          </w:rPr>
          <w:fldChar w:fldCharType="begin"/>
        </w:r>
        <w:r w:rsidR="000418C3">
          <w:rPr>
            <w:webHidden/>
          </w:rPr>
          <w:instrText xml:space="preserve"> PAGEREF _Toc110241809 \h </w:instrText>
        </w:r>
        <w:r w:rsidR="000418C3">
          <w:rPr>
            <w:webHidden/>
          </w:rPr>
        </w:r>
        <w:r w:rsidR="000418C3">
          <w:rPr>
            <w:webHidden/>
          </w:rPr>
          <w:fldChar w:fldCharType="separate"/>
        </w:r>
        <w:r w:rsidR="00A6032A">
          <w:rPr>
            <w:webHidden/>
          </w:rPr>
          <w:t>7</w:t>
        </w:r>
        <w:r w:rsidR="000418C3">
          <w:rPr>
            <w:webHidden/>
          </w:rPr>
          <w:fldChar w:fldCharType="end"/>
        </w:r>
      </w:hyperlink>
    </w:p>
    <w:p w14:paraId="0421B667" w14:textId="33EDDBB9" w:rsidR="000418C3" w:rsidRDefault="00D718CA">
      <w:pPr>
        <w:pStyle w:val="TOC2"/>
        <w:rPr>
          <w:rFonts w:asciiTheme="minorHAnsi" w:eastAsiaTheme="minorEastAsia" w:hAnsiTheme="minorHAnsi" w:cstheme="minorBidi"/>
          <w:color w:val="auto"/>
          <w:szCs w:val="22"/>
        </w:rPr>
      </w:pPr>
      <w:hyperlink w:anchor="_Toc110241810" w:history="1">
        <w:r w:rsidR="000418C3" w:rsidRPr="0037141E">
          <w:rPr>
            <w:rStyle w:val="Hyperlink"/>
            <w:rFonts w:eastAsiaTheme="minorHAnsi"/>
          </w:rPr>
          <w:t>The FRAA</w:t>
        </w:r>
        <w:r w:rsidR="00EF40B0">
          <w:rPr>
            <w:rStyle w:val="Hyperlink"/>
            <w:rFonts w:eastAsiaTheme="minorHAnsi"/>
          </w:rPr>
          <w:t>’</w:t>
        </w:r>
        <w:r w:rsidR="000418C3" w:rsidRPr="0037141E">
          <w:rPr>
            <w:rStyle w:val="Hyperlink"/>
            <w:rFonts w:eastAsiaTheme="minorHAnsi"/>
          </w:rPr>
          <w:t>s approach</w:t>
        </w:r>
        <w:r w:rsidR="000418C3">
          <w:rPr>
            <w:webHidden/>
          </w:rPr>
          <w:tab/>
        </w:r>
        <w:r w:rsidR="000418C3">
          <w:rPr>
            <w:webHidden/>
          </w:rPr>
          <w:fldChar w:fldCharType="begin"/>
        </w:r>
        <w:r w:rsidR="000418C3">
          <w:rPr>
            <w:webHidden/>
          </w:rPr>
          <w:instrText xml:space="preserve"> PAGEREF _Toc110241810 \h </w:instrText>
        </w:r>
        <w:r w:rsidR="000418C3">
          <w:rPr>
            <w:webHidden/>
          </w:rPr>
        </w:r>
        <w:r w:rsidR="000418C3">
          <w:rPr>
            <w:webHidden/>
          </w:rPr>
          <w:fldChar w:fldCharType="separate"/>
        </w:r>
        <w:r w:rsidR="00A6032A">
          <w:rPr>
            <w:webHidden/>
          </w:rPr>
          <w:t>7</w:t>
        </w:r>
        <w:r w:rsidR="000418C3">
          <w:rPr>
            <w:webHidden/>
          </w:rPr>
          <w:fldChar w:fldCharType="end"/>
        </w:r>
      </w:hyperlink>
    </w:p>
    <w:p w14:paraId="1C5F4697" w14:textId="4219CE89" w:rsidR="000418C3" w:rsidRDefault="00D718CA">
      <w:pPr>
        <w:pStyle w:val="TOC2"/>
        <w:rPr>
          <w:rFonts w:asciiTheme="minorHAnsi" w:eastAsiaTheme="minorEastAsia" w:hAnsiTheme="minorHAnsi" w:cstheme="minorBidi"/>
          <w:color w:val="auto"/>
          <w:szCs w:val="22"/>
        </w:rPr>
      </w:pPr>
      <w:hyperlink w:anchor="_Toc110241811" w:history="1">
        <w:r w:rsidR="000418C3" w:rsidRPr="0037141E">
          <w:rPr>
            <w:rStyle w:val="Hyperlink"/>
            <w:rFonts w:eastAsiaTheme="minorHAnsi"/>
          </w:rPr>
          <w:t>Measuring the effectiveness and capability of financial regulators</w:t>
        </w:r>
        <w:r w:rsidR="000418C3">
          <w:rPr>
            <w:webHidden/>
          </w:rPr>
          <w:tab/>
        </w:r>
        <w:r w:rsidR="000418C3">
          <w:rPr>
            <w:webHidden/>
          </w:rPr>
          <w:fldChar w:fldCharType="begin"/>
        </w:r>
        <w:r w:rsidR="000418C3">
          <w:rPr>
            <w:webHidden/>
          </w:rPr>
          <w:instrText xml:space="preserve"> PAGEREF _Toc110241811 \h </w:instrText>
        </w:r>
        <w:r w:rsidR="000418C3">
          <w:rPr>
            <w:webHidden/>
          </w:rPr>
        </w:r>
        <w:r w:rsidR="000418C3">
          <w:rPr>
            <w:webHidden/>
          </w:rPr>
          <w:fldChar w:fldCharType="separate"/>
        </w:r>
        <w:r w:rsidR="00A6032A">
          <w:rPr>
            <w:webHidden/>
          </w:rPr>
          <w:t>10</w:t>
        </w:r>
        <w:r w:rsidR="000418C3">
          <w:rPr>
            <w:webHidden/>
          </w:rPr>
          <w:fldChar w:fldCharType="end"/>
        </w:r>
      </w:hyperlink>
    </w:p>
    <w:p w14:paraId="0E23D90A" w14:textId="0E2BC28E" w:rsidR="000418C3" w:rsidRDefault="00D718CA">
      <w:pPr>
        <w:pStyle w:val="TOC2"/>
        <w:rPr>
          <w:rFonts w:asciiTheme="minorHAnsi" w:eastAsiaTheme="minorEastAsia" w:hAnsiTheme="minorHAnsi" w:cstheme="minorBidi"/>
          <w:color w:val="auto"/>
          <w:szCs w:val="22"/>
        </w:rPr>
      </w:pPr>
      <w:hyperlink w:anchor="_Toc110241812" w:history="1">
        <w:r w:rsidR="000418C3" w:rsidRPr="0037141E">
          <w:rPr>
            <w:rStyle w:val="Hyperlink"/>
            <w:rFonts w:eastAsiaTheme="minorHAnsi"/>
          </w:rPr>
          <w:t>Scope and methodology of this review</w:t>
        </w:r>
        <w:r w:rsidR="000418C3">
          <w:rPr>
            <w:webHidden/>
          </w:rPr>
          <w:tab/>
        </w:r>
        <w:r w:rsidR="000418C3">
          <w:rPr>
            <w:webHidden/>
          </w:rPr>
          <w:fldChar w:fldCharType="begin"/>
        </w:r>
        <w:r w:rsidR="000418C3">
          <w:rPr>
            <w:webHidden/>
          </w:rPr>
          <w:instrText xml:space="preserve"> PAGEREF _Toc110241812 \h </w:instrText>
        </w:r>
        <w:r w:rsidR="000418C3">
          <w:rPr>
            <w:webHidden/>
          </w:rPr>
        </w:r>
        <w:r w:rsidR="000418C3">
          <w:rPr>
            <w:webHidden/>
          </w:rPr>
          <w:fldChar w:fldCharType="separate"/>
        </w:r>
        <w:r w:rsidR="00A6032A">
          <w:rPr>
            <w:webHidden/>
          </w:rPr>
          <w:t>14</w:t>
        </w:r>
        <w:r w:rsidR="000418C3">
          <w:rPr>
            <w:webHidden/>
          </w:rPr>
          <w:fldChar w:fldCharType="end"/>
        </w:r>
      </w:hyperlink>
    </w:p>
    <w:p w14:paraId="104A015E" w14:textId="31BF9023" w:rsidR="000418C3" w:rsidRDefault="00D718CA">
      <w:pPr>
        <w:pStyle w:val="TOC1"/>
        <w:rPr>
          <w:rFonts w:asciiTheme="minorHAnsi" w:eastAsiaTheme="minorEastAsia" w:hAnsiTheme="minorHAnsi" w:cstheme="minorBidi"/>
          <w:b w:val="0"/>
          <w:color w:val="auto"/>
        </w:rPr>
      </w:pPr>
      <w:hyperlink w:anchor="_Toc110241813" w:history="1">
        <w:r w:rsidR="000418C3" w:rsidRPr="0037141E">
          <w:rPr>
            <w:rStyle w:val="Hyperlink"/>
          </w:rPr>
          <w:t>Chapter 2: ASIC</w:t>
        </w:r>
        <w:r w:rsidR="00EF40B0">
          <w:rPr>
            <w:rStyle w:val="Hyperlink"/>
          </w:rPr>
          <w:t>’</w:t>
        </w:r>
        <w:r w:rsidR="000418C3" w:rsidRPr="0037141E">
          <w:rPr>
            <w:rStyle w:val="Hyperlink"/>
          </w:rPr>
          <w:t>s role in the Australian financial system</w:t>
        </w:r>
        <w:r w:rsidR="000418C3">
          <w:rPr>
            <w:webHidden/>
          </w:rPr>
          <w:tab/>
        </w:r>
        <w:r w:rsidR="000418C3">
          <w:rPr>
            <w:webHidden/>
          </w:rPr>
          <w:fldChar w:fldCharType="begin"/>
        </w:r>
        <w:r w:rsidR="000418C3">
          <w:rPr>
            <w:webHidden/>
          </w:rPr>
          <w:instrText xml:space="preserve"> PAGEREF _Toc110241813 \h </w:instrText>
        </w:r>
        <w:r w:rsidR="000418C3">
          <w:rPr>
            <w:webHidden/>
          </w:rPr>
        </w:r>
        <w:r w:rsidR="000418C3">
          <w:rPr>
            <w:webHidden/>
          </w:rPr>
          <w:fldChar w:fldCharType="separate"/>
        </w:r>
        <w:r w:rsidR="00A6032A">
          <w:rPr>
            <w:webHidden/>
          </w:rPr>
          <w:t>17</w:t>
        </w:r>
        <w:r w:rsidR="000418C3">
          <w:rPr>
            <w:webHidden/>
          </w:rPr>
          <w:fldChar w:fldCharType="end"/>
        </w:r>
      </w:hyperlink>
    </w:p>
    <w:p w14:paraId="0223377D" w14:textId="09F4C42E" w:rsidR="000418C3" w:rsidRDefault="00D718CA">
      <w:pPr>
        <w:pStyle w:val="TOC2"/>
        <w:rPr>
          <w:rFonts w:asciiTheme="minorHAnsi" w:eastAsiaTheme="minorEastAsia" w:hAnsiTheme="minorHAnsi" w:cstheme="minorBidi"/>
          <w:color w:val="auto"/>
          <w:szCs w:val="22"/>
        </w:rPr>
      </w:pPr>
      <w:hyperlink w:anchor="_Toc110241814" w:history="1">
        <w:r w:rsidR="000418C3" w:rsidRPr="0037141E">
          <w:rPr>
            <w:rStyle w:val="Hyperlink"/>
          </w:rPr>
          <w:t>Introduction</w:t>
        </w:r>
        <w:r w:rsidR="000418C3">
          <w:rPr>
            <w:webHidden/>
          </w:rPr>
          <w:tab/>
        </w:r>
        <w:r w:rsidR="000418C3">
          <w:rPr>
            <w:webHidden/>
          </w:rPr>
          <w:fldChar w:fldCharType="begin"/>
        </w:r>
        <w:r w:rsidR="000418C3">
          <w:rPr>
            <w:webHidden/>
          </w:rPr>
          <w:instrText xml:space="preserve"> PAGEREF _Toc110241814 \h </w:instrText>
        </w:r>
        <w:r w:rsidR="000418C3">
          <w:rPr>
            <w:webHidden/>
          </w:rPr>
        </w:r>
        <w:r w:rsidR="000418C3">
          <w:rPr>
            <w:webHidden/>
          </w:rPr>
          <w:fldChar w:fldCharType="separate"/>
        </w:r>
        <w:r w:rsidR="00A6032A">
          <w:rPr>
            <w:webHidden/>
          </w:rPr>
          <w:t>17</w:t>
        </w:r>
        <w:r w:rsidR="000418C3">
          <w:rPr>
            <w:webHidden/>
          </w:rPr>
          <w:fldChar w:fldCharType="end"/>
        </w:r>
      </w:hyperlink>
    </w:p>
    <w:p w14:paraId="1C145CB3" w14:textId="1B989FA1" w:rsidR="000418C3" w:rsidRDefault="00D718CA">
      <w:pPr>
        <w:pStyle w:val="TOC2"/>
        <w:rPr>
          <w:rFonts w:asciiTheme="minorHAnsi" w:eastAsiaTheme="minorEastAsia" w:hAnsiTheme="minorHAnsi" w:cstheme="minorBidi"/>
          <w:color w:val="auto"/>
          <w:szCs w:val="22"/>
        </w:rPr>
      </w:pPr>
      <w:hyperlink w:anchor="_Toc110241815" w:history="1">
        <w:r w:rsidR="000418C3" w:rsidRPr="0037141E">
          <w:rPr>
            <w:rStyle w:val="Hyperlink"/>
            <w:rFonts w:eastAsiaTheme="minorHAnsi"/>
          </w:rPr>
          <w:t>Financial system regulators</w:t>
        </w:r>
        <w:r w:rsidR="000418C3">
          <w:rPr>
            <w:webHidden/>
          </w:rPr>
          <w:tab/>
        </w:r>
        <w:r w:rsidR="000418C3">
          <w:rPr>
            <w:webHidden/>
          </w:rPr>
          <w:fldChar w:fldCharType="begin"/>
        </w:r>
        <w:r w:rsidR="000418C3">
          <w:rPr>
            <w:webHidden/>
          </w:rPr>
          <w:instrText xml:space="preserve"> PAGEREF _Toc110241815 \h </w:instrText>
        </w:r>
        <w:r w:rsidR="000418C3">
          <w:rPr>
            <w:webHidden/>
          </w:rPr>
        </w:r>
        <w:r w:rsidR="000418C3">
          <w:rPr>
            <w:webHidden/>
          </w:rPr>
          <w:fldChar w:fldCharType="separate"/>
        </w:r>
        <w:r w:rsidR="00A6032A">
          <w:rPr>
            <w:webHidden/>
          </w:rPr>
          <w:t>17</w:t>
        </w:r>
        <w:r w:rsidR="000418C3">
          <w:rPr>
            <w:webHidden/>
          </w:rPr>
          <w:fldChar w:fldCharType="end"/>
        </w:r>
      </w:hyperlink>
    </w:p>
    <w:p w14:paraId="543511E6" w14:textId="6A8377B9" w:rsidR="000418C3" w:rsidRDefault="00D718CA">
      <w:pPr>
        <w:pStyle w:val="TOC2"/>
        <w:rPr>
          <w:rFonts w:asciiTheme="minorHAnsi" w:eastAsiaTheme="minorEastAsia" w:hAnsiTheme="minorHAnsi" w:cstheme="minorBidi"/>
          <w:color w:val="auto"/>
          <w:szCs w:val="22"/>
        </w:rPr>
      </w:pPr>
      <w:hyperlink w:anchor="_Toc110241816" w:history="1">
        <w:r w:rsidR="000418C3" w:rsidRPr="0037141E">
          <w:rPr>
            <w:rStyle w:val="Hyperlink"/>
            <w:rFonts w:eastAsiaTheme="minorHAnsi"/>
          </w:rPr>
          <w:t>Statutory mandate</w:t>
        </w:r>
        <w:r w:rsidR="000418C3">
          <w:rPr>
            <w:webHidden/>
          </w:rPr>
          <w:tab/>
        </w:r>
        <w:r w:rsidR="000418C3">
          <w:rPr>
            <w:webHidden/>
          </w:rPr>
          <w:fldChar w:fldCharType="begin"/>
        </w:r>
        <w:r w:rsidR="000418C3">
          <w:rPr>
            <w:webHidden/>
          </w:rPr>
          <w:instrText xml:space="preserve"> PAGEREF _Toc110241816 \h </w:instrText>
        </w:r>
        <w:r w:rsidR="000418C3">
          <w:rPr>
            <w:webHidden/>
          </w:rPr>
        </w:r>
        <w:r w:rsidR="000418C3">
          <w:rPr>
            <w:webHidden/>
          </w:rPr>
          <w:fldChar w:fldCharType="separate"/>
        </w:r>
        <w:r w:rsidR="00A6032A">
          <w:rPr>
            <w:webHidden/>
          </w:rPr>
          <w:t>17</w:t>
        </w:r>
        <w:r w:rsidR="000418C3">
          <w:rPr>
            <w:webHidden/>
          </w:rPr>
          <w:fldChar w:fldCharType="end"/>
        </w:r>
      </w:hyperlink>
    </w:p>
    <w:p w14:paraId="12FC915B" w14:textId="7D7131D0" w:rsidR="000418C3" w:rsidRDefault="00D718CA">
      <w:pPr>
        <w:pStyle w:val="TOC2"/>
        <w:rPr>
          <w:rFonts w:asciiTheme="minorHAnsi" w:eastAsiaTheme="minorEastAsia" w:hAnsiTheme="minorHAnsi" w:cstheme="minorBidi"/>
          <w:color w:val="auto"/>
          <w:szCs w:val="22"/>
        </w:rPr>
      </w:pPr>
      <w:hyperlink w:anchor="_Toc110241817" w:history="1">
        <w:r w:rsidR="000418C3" w:rsidRPr="0037141E">
          <w:rPr>
            <w:rStyle w:val="Hyperlink"/>
            <w:rFonts w:eastAsiaTheme="minorHAnsi"/>
          </w:rPr>
          <w:t>Funding and resourcing</w:t>
        </w:r>
        <w:r w:rsidR="000418C3">
          <w:rPr>
            <w:webHidden/>
          </w:rPr>
          <w:tab/>
        </w:r>
        <w:r w:rsidR="000418C3">
          <w:rPr>
            <w:webHidden/>
          </w:rPr>
          <w:fldChar w:fldCharType="begin"/>
        </w:r>
        <w:r w:rsidR="000418C3">
          <w:rPr>
            <w:webHidden/>
          </w:rPr>
          <w:instrText xml:space="preserve"> PAGEREF _Toc110241817 \h </w:instrText>
        </w:r>
        <w:r w:rsidR="000418C3">
          <w:rPr>
            <w:webHidden/>
          </w:rPr>
        </w:r>
        <w:r w:rsidR="000418C3">
          <w:rPr>
            <w:webHidden/>
          </w:rPr>
          <w:fldChar w:fldCharType="separate"/>
        </w:r>
        <w:r w:rsidR="00A6032A">
          <w:rPr>
            <w:webHidden/>
          </w:rPr>
          <w:t>21</w:t>
        </w:r>
        <w:r w:rsidR="000418C3">
          <w:rPr>
            <w:webHidden/>
          </w:rPr>
          <w:fldChar w:fldCharType="end"/>
        </w:r>
      </w:hyperlink>
    </w:p>
    <w:p w14:paraId="7E60F9A4" w14:textId="269309BA" w:rsidR="000418C3" w:rsidRDefault="00D718CA">
      <w:pPr>
        <w:pStyle w:val="TOC1"/>
        <w:rPr>
          <w:rFonts w:asciiTheme="minorHAnsi" w:eastAsiaTheme="minorEastAsia" w:hAnsiTheme="minorHAnsi" w:cstheme="minorBidi"/>
          <w:b w:val="0"/>
          <w:color w:val="auto"/>
        </w:rPr>
      </w:pPr>
      <w:hyperlink w:anchor="_Toc110241818" w:history="1">
        <w:r w:rsidR="000418C3" w:rsidRPr="0037141E">
          <w:rPr>
            <w:rStyle w:val="Hyperlink"/>
          </w:rPr>
          <w:t>Chapter 3: Strategic prioritisation, planning and decision</w:t>
        </w:r>
        <w:r w:rsidR="00EF40B0">
          <w:rPr>
            <w:rStyle w:val="Hyperlink"/>
          </w:rPr>
          <w:noBreakHyphen/>
        </w:r>
        <w:r w:rsidR="000418C3" w:rsidRPr="0037141E">
          <w:rPr>
            <w:rStyle w:val="Hyperlink"/>
          </w:rPr>
          <w:t>making</w:t>
        </w:r>
        <w:r w:rsidR="000418C3">
          <w:rPr>
            <w:webHidden/>
          </w:rPr>
          <w:tab/>
        </w:r>
        <w:r w:rsidR="000418C3">
          <w:rPr>
            <w:webHidden/>
          </w:rPr>
          <w:fldChar w:fldCharType="begin"/>
        </w:r>
        <w:r w:rsidR="000418C3">
          <w:rPr>
            <w:webHidden/>
          </w:rPr>
          <w:instrText xml:space="preserve"> PAGEREF _Toc110241818 \h </w:instrText>
        </w:r>
        <w:r w:rsidR="000418C3">
          <w:rPr>
            <w:webHidden/>
          </w:rPr>
        </w:r>
        <w:r w:rsidR="000418C3">
          <w:rPr>
            <w:webHidden/>
          </w:rPr>
          <w:fldChar w:fldCharType="separate"/>
        </w:r>
        <w:r w:rsidR="00A6032A">
          <w:rPr>
            <w:webHidden/>
          </w:rPr>
          <w:t>23</w:t>
        </w:r>
        <w:r w:rsidR="000418C3">
          <w:rPr>
            <w:webHidden/>
          </w:rPr>
          <w:fldChar w:fldCharType="end"/>
        </w:r>
      </w:hyperlink>
    </w:p>
    <w:p w14:paraId="69560183" w14:textId="11669FFA" w:rsidR="000418C3" w:rsidRDefault="00D718CA">
      <w:pPr>
        <w:pStyle w:val="TOC2"/>
        <w:rPr>
          <w:rFonts w:asciiTheme="minorHAnsi" w:eastAsiaTheme="minorEastAsia" w:hAnsiTheme="minorHAnsi" w:cstheme="minorBidi"/>
          <w:color w:val="auto"/>
          <w:szCs w:val="22"/>
        </w:rPr>
      </w:pPr>
      <w:hyperlink w:anchor="_Toc110241819" w:history="1">
        <w:r w:rsidR="000418C3" w:rsidRPr="0037141E">
          <w:rPr>
            <w:rStyle w:val="Hyperlink"/>
            <w:rFonts w:eastAsiaTheme="minorHAnsi"/>
          </w:rPr>
          <w:t>Introduction</w:t>
        </w:r>
        <w:r w:rsidR="000418C3">
          <w:rPr>
            <w:webHidden/>
          </w:rPr>
          <w:tab/>
        </w:r>
        <w:r w:rsidR="000418C3">
          <w:rPr>
            <w:webHidden/>
          </w:rPr>
          <w:fldChar w:fldCharType="begin"/>
        </w:r>
        <w:r w:rsidR="000418C3">
          <w:rPr>
            <w:webHidden/>
          </w:rPr>
          <w:instrText xml:space="preserve"> PAGEREF _Toc110241819 \h </w:instrText>
        </w:r>
        <w:r w:rsidR="000418C3">
          <w:rPr>
            <w:webHidden/>
          </w:rPr>
        </w:r>
        <w:r w:rsidR="000418C3">
          <w:rPr>
            <w:webHidden/>
          </w:rPr>
          <w:fldChar w:fldCharType="separate"/>
        </w:r>
        <w:r w:rsidR="00A6032A">
          <w:rPr>
            <w:webHidden/>
          </w:rPr>
          <w:t>23</w:t>
        </w:r>
        <w:r w:rsidR="000418C3">
          <w:rPr>
            <w:webHidden/>
          </w:rPr>
          <w:fldChar w:fldCharType="end"/>
        </w:r>
      </w:hyperlink>
    </w:p>
    <w:p w14:paraId="2384DF06" w14:textId="7D01C896" w:rsidR="000418C3" w:rsidRDefault="00D718CA">
      <w:pPr>
        <w:pStyle w:val="TOC2"/>
        <w:rPr>
          <w:rFonts w:asciiTheme="minorHAnsi" w:eastAsiaTheme="minorEastAsia" w:hAnsiTheme="minorHAnsi" w:cstheme="minorBidi"/>
          <w:color w:val="auto"/>
          <w:szCs w:val="22"/>
        </w:rPr>
      </w:pPr>
      <w:hyperlink w:anchor="_Toc110241820" w:history="1">
        <w:r w:rsidR="000418C3" w:rsidRPr="0037141E">
          <w:rPr>
            <w:rStyle w:val="Hyperlink"/>
            <w:rFonts w:eastAsiaTheme="minorHAnsi"/>
          </w:rPr>
          <w:t>Governance and accountability at ASIC</w:t>
        </w:r>
        <w:r w:rsidR="000418C3">
          <w:rPr>
            <w:webHidden/>
          </w:rPr>
          <w:tab/>
        </w:r>
        <w:r w:rsidR="000418C3">
          <w:rPr>
            <w:webHidden/>
          </w:rPr>
          <w:fldChar w:fldCharType="begin"/>
        </w:r>
        <w:r w:rsidR="000418C3">
          <w:rPr>
            <w:webHidden/>
          </w:rPr>
          <w:instrText xml:space="preserve"> PAGEREF _Toc110241820 \h </w:instrText>
        </w:r>
        <w:r w:rsidR="000418C3">
          <w:rPr>
            <w:webHidden/>
          </w:rPr>
        </w:r>
        <w:r w:rsidR="000418C3">
          <w:rPr>
            <w:webHidden/>
          </w:rPr>
          <w:fldChar w:fldCharType="separate"/>
        </w:r>
        <w:r w:rsidR="00A6032A">
          <w:rPr>
            <w:webHidden/>
          </w:rPr>
          <w:t>23</w:t>
        </w:r>
        <w:r w:rsidR="000418C3">
          <w:rPr>
            <w:webHidden/>
          </w:rPr>
          <w:fldChar w:fldCharType="end"/>
        </w:r>
      </w:hyperlink>
    </w:p>
    <w:p w14:paraId="3B6CBA41" w14:textId="6BB60714" w:rsidR="000418C3" w:rsidRDefault="00D718CA">
      <w:pPr>
        <w:pStyle w:val="TOC2"/>
        <w:rPr>
          <w:rFonts w:asciiTheme="minorHAnsi" w:eastAsiaTheme="minorEastAsia" w:hAnsiTheme="minorHAnsi" w:cstheme="minorBidi"/>
          <w:color w:val="auto"/>
          <w:szCs w:val="22"/>
        </w:rPr>
      </w:pPr>
      <w:hyperlink w:anchor="_Toc110241821" w:history="1">
        <w:r w:rsidR="000418C3" w:rsidRPr="0037141E">
          <w:rPr>
            <w:rStyle w:val="Hyperlink"/>
            <w:rFonts w:eastAsiaTheme="minorHAnsi"/>
          </w:rPr>
          <w:t>Assessment</w:t>
        </w:r>
        <w:r w:rsidR="000418C3">
          <w:rPr>
            <w:webHidden/>
          </w:rPr>
          <w:tab/>
        </w:r>
        <w:r w:rsidR="000418C3">
          <w:rPr>
            <w:webHidden/>
          </w:rPr>
          <w:fldChar w:fldCharType="begin"/>
        </w:r>
        <w:r w:rsidR="000418C3">
          <w:rPr>
            <w:webHidden/>
          </w:rPr>
          <w:instrText xml:space="preserve"> PAGEREF _Toc110241821 \h </w:instrText>
        </w:r>
        <w:r w:rsidR="000418C3">
          <w:rPr>
            <w:webHidden/>
          </w:rPr>
        </w:r>
        <w:r w:rsidR="000418C3">
          <w:rPr>
            <w:webHidden/>
          </w:rPr>
          <w:fldChar w:fldCharType="separate"/>
        </w:r>
        <w:r w:rsidR="00A6032A">
          <w:rPr>
            <w:webHidden/>
          </w:rPr>
          <w:t>30</w:t>
        </w:r>
        <w:r w:rsidR="000418C3">
          <w:rPr>
            <w:webHidden/>
          </w:rPr>
          <w:fldChar w:fldCharType="end"/>
        </w:r>
      </w:hyperlink>
    </w:p>
    <w:p w14:paraId="5532179E" w14:textId="7C945E22" w:rsidR="000418C3" w:rsidRDefault="00D718CA">
      <w:pPr>
        <w:pStyle w:val="TOC2"/>
        <w:rPr>
          <w:rFonts w:asciiTheme="minorHAnsi" w:eastAsiaTheme="minorEastAsia" w:hAnsiTheme="minorHAnsi" w:cstheme="minorBidi"/>
          <w:color w:val="auto"/>
          <w:szCs w:val="22"/>
        </w:rPr>
      </w:pPr>
      <w:hyperlink w:anchor="_Toc110241822" w:history="1">
        <w:r w:rsidR="000418C3" w:rsidRPr="0037141E">
          <w:rPr>
            <w:rStyle w:val="Hyperlink"/>
            <w:rFonts w:eastAsiaTheme="minorHAnsi"/>
          </w:rPr>
          <w:t>Strategic prioritisation, planning and decision</w:t>
        </w:r>
        <w:r w:rsidR="00EF40B0">
          <w:rPr>
            <w:rStyle w:val="Hyperlink"/>
            <w:rFonts w:eastAsiaTheme="minorHAnsi"/>
          </w:rPr>
          <w:noBreakHyphen/>
        </w:r>
        <w:r w:rsidR="000418C3" w:rsidRPr="0037141E">
          <w:rPr>
            <w:rStyle w:val="Hyperlink"/>
            <w:rFonts w:eastAsiaTheme="minorHAnsi"/>
          </w:rPr>
          <w:t>making</w:t>
        </w:r>
        <w:r w:rsidR="000418C3">
          <w:rPr>
            <w:webHidden/>
          </w:rPr>
          <w:tab/>
        </w:r>
        <w:r w:rsidR="000418C3">
          <w:rPr>
            <w:webHidden/>
          </w:rPr>
          <w:fldChar w:fldCharType="begin"/>
        </w:r>
        <w:r w:rsidR="000418C3">
          <w:rPr>
            <w:webHidden/>
          </w:rPr>
          <w:instrText xml:space="preserve"> PAGEREF _Toc110241822 \h </w:instrText>
        </w:r>
        <w:r w:rsidR="000418C3">
          <w:rPr>
            <w:webHidden/>
          </w:rPr>
        </w:r>
        <w:r w:rsidR="000418C3">
          <w:rPr>
            <w:webHidden/>
          </w:rPr>
          <w:fldChar w:fldCharType="separate"/>
        </w:r>
        <w:r w:rsidR="00A6032A">
          <w:rPr>
            <w:webHidden/>
          </w:rPr>
          <w:t>31</w:t>
        </w:r>
        <w:r w:rsidR="000418C3">
          <w:rPr>
            <w:webHidden/>
          </w:rPr>
          <w:fldChar w:fldCharType="end"/>
        </w:r>
      </w:hyperlink>
    </w:p>
    <w:p w14:paraId="7DC0F797" w14:textId="1E1FA8C7" w:rsidR="000418C3" w:rsidRDefault="00D718CA">
      <w:pPr>
        <w:pStyle w:val="TOC2"/>
        <w:rPr>
          <w:rFonts w:asciiTheme="minorHAnsi" w:eastAsiaTheme="minorEastAsia" w:hAnsiTheme="minorHAnsi" w:cstheme="minorBidi"/>
          <w:color w:val="auto"/>
          <w:szCs w:val="22"/>
        </w:rPr>
      </w:pPr>
      <w:hyperlink w:anchor="_Toc110241823" w:history="1">
        <w:r w:rsidR="000418C3" w:rsidRPr="0037141E">
          <w:rPr>
            <w:rStyle w:val="Hyperlink"/>
            <w:rFonts w:eastAsiaTheme="minorHAnsi" w:cstheme="minorHAnsi"/>
          </w:rPr>
          <w:t>Effectiveness and capability of ASIC</w:t>
        </w:r>
        <w:r w:rsidR="00EF40B0">
          <w:rPr>
            <w:rStyle w:val="Hyperlink"/>
            <w:rFonts w:eastAsiaTheme="minorHAnsi" w:cstheme="minorHAnsi"/>
          </w:rPr>
          <w:t>’</w:t>
        </w:r>
        <w:r w:rsidR="000418C3" w:rsidRPr="0037141E">
          <w:rPr>
            <w:rStyle w:val="Hyperlink"/>
            <w:rFonts w:eastAsiaTheme="minorHAnsi" w:cstheme="minorHAnsi"/>
          </w:rPr>
          <w:t>s strategic prioritisation, planning and decision</w:t>
        </w:r>
        <w:r w:rsidR="00EF40B0">
          <w:rPr>
            <w:rStyle w:val="Hyperlink"/>
            <w:rFonts w:eastAsiaTheme="minorHAnsi" w:cstheme="minorHAnsi"/>
          </w:rPr>
          <w:noBreakHyphen/>
        </w:r>
        <w:r w:rsidR="000418C3" w:rsidRPr="0037141E">
          <w:rPr>
            <w:rStyle w:val="Hyperlink"/>
            <w:rFonts w:eastAsiaTheme="minorHAnsi" w:cstheme="minorHAnsi"/>
          </w:rPr>
          <w:t>making</w:t>
        </w:r>
        <w:r w:rsidR="000418C3">
          <w:rPr>
            <w:webHidden/>
          </w:rPr>
          <w:tab/>
        </w:r>
        <w:r w:rsidR="000418C3">
          <w:rPr>
            <w:webHidden/>
          </w:rPr>
          <w:fldChar w:fldCharType="begin"/>
        </w:r>
        <w:r w:rsidR="000418C3">
          <w:rPr>
            <w:webHidden/>
          </w:rPr>
          <w:instrText xml:space="preserve"> PAGEREF _Toc110241823 \h </w:instrText>
        </w:r>
        <w:r w:rsidR="000418C3">
          <w:rPr>
            <w:webHidden/>
          </w:rPr>
        </w:r>
        <w:r w:rsidR="000418C3">
          <w:rPr>
            <w:webHidden/>
          </w:rPr>
          <w:fldChar w:fldCharType="separate"/>
        </w:r>
        <w:r w:rsidR="00A6032A">
          <w:rPr>
            <w:webHidden/>
          </w:rPr>
          <w:t>33</w:t>
        </w:r>
        <w:r w:rsidR="000418C3">
          <w:rPr>
            <w:webHidden/>
          </w:rPr>
          <w:fldChar w:fldCharType="end"/>
        </w:r>
      </w:hyperlink>
    </w:p>
    <w:p w14:paraId="6EE74AF9" w14:textId="2A6B0BA4" w:rsidR="000418C3" w:rsidRDefault="00D718CA">
      <w:pPr>
        <w:pStyle w:val="TOC2"/>
        <w:rPr>
          <w:rFonts w:asciiTheme="minorHAnsi" w:eastAsiaTheme="minorEastAsia" w:hAnsiTheme="minorHAnsi" w:cstheme="minorBidi"/>
          <w:color w:val="auto"/>
          <w:szCs w:val="22"/>
        </w:rPr>
      </w:pPr>
      <w:hyperlink w:anchor="_Toc110241824" w:history="1">
        <w:r w:rsidR="000418C3" w:rsidRPr="0037141E">
          <w:rPr>
            <w:rStyle w:val="Hyperlink"/>
            <w:rFonts w:eastAsia="Yu Gothic Light"/>
          </w:rPr>
          <w:t>Planned initiatives</w:t>
        </w:r>
        <w:r w:rsidR="000418C3">
          <w:rPr>
            <w:webHidden/>
          </w:rPr>
          <w:tab/>
        </w:r>
        <w:r w:rsidR="000418C3">
          <w:rPr>
            <w:webHidden/>
          </w:rPr>
          <w:fldChar w:fldCharType="begin"/>
        </w:r>
        <w:r w:rsidR="000418C3">
          <w:rPr>
            <w:webHidden/>
          </w:rPr>
          <w:instrText xml:space="preserve"> PAGEREF _Toc110241824 \h </w:instrText>
        </w:r>
        <w:r w:rsidR="000418C3">
          <w:rPr>
            <w:webHidden/>
          </w:rPr>
        </w:r>
        <w:r w:rsidR="000418C3">
          <w:rPr>
            <w:webHidden/>
          </w:rPr>
          <w:fldChar w:fldCharType="separate"/>
        </w:r>
        <w:r w:rsidR="00A6032A">
          <w:rPr>
            <w:webHidden/>
          </w:rPr>
          <w:t>42</w:t>
        </w:r>
        <w:r w:rsidR="000418C3">
          <w:rPr>
            <w:webHidden/>
          </w:rPr>
          <w:fldChar w:fldCharType="end"/>
        </w:r>
      </w:hyperlink>
    </w:p>
    <w:p w14:paraId="3A341AAF" w14:textId="0DAF91D6" w:rsidR="000418C3" w:rsidRDefault="00D718CA">
      <w:pPr>
        <w:pStyle w:val="TOC2"/>
        <w:rPr>
          <w:rFonts w:asciiTheme="minorHAnsi" w:eastAsiaTheme="minorEastAsia" w:hAnsiTheme="minorHAnsi" w:cstheme="minorBidi"/>
          <w:color w:val="auto"/>
          <w:szCs w:val="22"/>
        </w:rPr>
      </w:pPr>
      <w:hyperlink w:anchor="_Toc110241825" w:history="1">
        <w:r w:rsidR="000418C3" w:rsidRPr="0037141E">
          <w:rPr>
            <w:rStyle w:val="Hyperlink"/>
            <w:rFonts w:eastAsiaTheme="minorHAnsi" w:cstheme="minorHAnsi"/>
          </w:rPr>
          <w:t>Assessment</w:t>
        </w:r>
        <w:r w:rsidR="000418C3">
          <w:rPr>
            <w:webHidden/>
          </w:rPr>
          <w:tab/>
        </w:r>
        <w:r w:rsidR="000418C3">
          <w:rPr>
            <w:webHidden/>
          </w:rPr>
          <w:fldChar w:fldCharType="begin"/>
        </w:r>
        <w:r w:rsidR="000418C3">
          <w:rPr>
            <w:webHidden/>
          </w:rPr>
          <w:instrText xml:space="preserve"> PAGEREF _Toc110241825 \h </w:instrText>
        </w:r>
        <w:r w:rsidR="000418C3">
          <w:rPr>
            <w:webHidden/>
          </w:rPr>
        </w:r>
        <w:r w:rsidR="000418C3">
          <w:rPr>
            <w:webHidden/>
          </w:rPr>
          <w:fldChar w:fldCharType="separate"/>
        </w:r>
        <w:r w:rsidR="00A6032A">
          <w:rPr>
            <w:webHidden/>
          </w:rPr>
          <w:t>43</w:t>
        </w:r>
        <w:r w:rsidR="000418C3">
          <w:rPr>
            <w:webHidden/>
          </w:rPr>
          <w:fldChar w:fldCharType="end"/>
        </w:r>
      </w:hyperlink>
    </w:p>
    <w:p w14:paraId="7BF07886" w14:textId="297FD6E8" w:rsidR="000418C3" w:rsidRDefault="00D718CA">
      <w:pPr>
        <w:pStyle w:val="TOC1"/>
        <w:rPr>
          <w:rFonts w:asciiTheme="minorHAnsi" w:eastAsiaTheme="minorEastAsia" w:hAnsiTheme="minorHAnsi" w:cstheme="minorBidi"/>
          <w:b w:val="0"/>
          <w:color w:val="auto"/>
        </w:rPr>
      </w:pPr>
      <w:hyperlink w:anchor="_Toc110241826" w:history="1">
        <w:r w:rsidR="000418C3" w:rsidRPr="0037141E">
          <w:rPr>
            <w:rStyle w:val="Hyperlink"/>
          </w:rPr>
          <w:t>Chapter 4: Surveillance</w:t>
        </w:r>
        <w:r w:rsidR="000418C3">
          <w:rPr>
            <w:webHidden/>
          </w:rPr>
          <w:tab/>
        </w:r>
        <w:r w:rsidR="000418C3">
          <w:rPr>
            <w:webHidden/>
          </w:rPr>
          <w:fldChar w:fldCharType="begin"/>
        </w:r>
        <w:r w:rsidR="000418C3">
          <w:rPr>
            <w:webHidden/>
          </w:rPr>
          <w:instrText xml:space="preserve"> PAGEREF _Toc110241826 \h </w:instrText>
        </w:r>
        <w:r w:rsidR="000418C3">
          <w:rPr>
            <w:webHidden/>
          </w:rPr>
        </w:r>
        <w:r w:rsidR="000418C3">
          <w:rPr>
            <w:webHidden/>
          </w:rPr>
          <w:fldChar w:fldCharType="separate"/>
        </w:r>
        <w:r w:rsidR="00A6032A">
          <w:rPr>
            <w:webHidden/>
          </w:rPr>
          <w:t>45</w:t>
        </w:r>
        <w:r w:rsidR="000418C3">
          <w:rPr>
            <w:webHidden/>
          </w:rPr>
          <w:fldChar w:fldCharType="end"/>
        </w:r>
      </w:hyperlink>
    </w:p>
    <w:p w14:paraId="534C9B6C" w14:textId="2D31C2CE" w:rsidR="000418C3" w:rsidRDefault="00D718CA">
      <w:pPr>
        <w:pStyle w:val="TOC2"/>
        <w:rPr>
          <w:rFonts w:asciiTheme="minorHAnsi" w:eastAsiaTheme="minorEastAsia" w:hAnsiTheme="minorHAnsi" w:cstheme="minorBidi"/>
          <w:color w:val="auto"/>
          <w:szCs w:val="22"/>
        </w:rPr>
      </w:pPr>
      <w:hyperlink w:anchor="_Toc110241827" w:history="1">
        <w:r w:rsidR="000418C3" w:rsidRPr="0037141E">
          <w:rPr>
            <w:rStyle w:val="Hyperlink"/>
          </w:rPr>
          <w:t>Introduction</w:t>
        </w:r>
        <w:r w:rsidR="000418C3">
          <w:rPr>
            <w:webHidden/>
          </w:rPr>
          <w:tab/>
        </w:r>
        <w:r w:rsidR="000418C3">
          <w:rPr>
            <w:webHidden/>
          </w:rPr>
          <w:fldChar w:fldCharType="begin"/>
        </w:r>
        <w:r w:rsidR="000418C3">
          <w:rPr>
            <w:webHidden/>
          </w:rPr>
          <w:instrText xml:space="preserve"> PAGEREF _Toc110241827 \h </w:instrText>
        </w:r>
        <w:r w:rsidR="000418C3">
          <w:rPr>
            <w:webHidden/>
          </w:rPr>
        </w:r>
        <w:r w:rsidR="000418C3">
          <w:rPr>
            <w:webHidden/>
          </w:rPr>
          <w:fldChar w:fldCharType="separate"/>
        </w:r>
        <w:r w:rsidR="00A6032A">
          <w:rPr>
            <w:webHidden/>
          </w:rPr>
          <w:t>45</w:t>
        </w:r>
        <w:r w:rsidR="000418C3">
          <w:rPr>
            <w:webHidden/>
          </w:rPr>
          <w:fldChar w:fldCharType="end"/>
        </w:r>
      </w:hyperlink>
    </w:p>
    <w:p w14:paraId="3CF36A0F" w14:textId="6CF49068" w:rsidR="000418C3" w:rsidRDefault="00D718CA">
      <w:pPr>
        <w:pStyle w:val="TOC2"/>
        <w:rPr>
          <w:rFonts w:asciiTheme="minorHAnsi" w:eastAsiaTheme="minorEastAsia" w:hAnsiTheme="minorHAnsi" w:cstheme="minorBidi"/>
          <w:color w:val="auto"/>
          <w:szCs w:val="22"/>
        </w:rPr>
      </w:pPr>
      <w:hyperlink w:anchor="_Toc110241828" w:history="1">
        <w:r w:rsidR="000418C3" w:rsidRPr="0037141E">
          <w:rPr>
            <w:rStyle w:val="Hyperlink"/>
          </w:rPr>
          <w:t>Surveillance at ASIC</w:t>
        </w:r>
        <w:r w:rsidR="000418C3">
          <w:rPr>
            <w:webHidden/>
          </w:rPr>
          <w:tab/>
        </w:r>
        <w:r w:rsidR="000418C3">
          <w:rPr>
            <w:webHidden/>
          </w:rPr>
          <w:fldChar w:fldCharType="begin"/>
        </w:r>
        <w:r w:rsidR="000418C3">
          <w:rPr>
            <w:webHidden/>
          </w:rPr>
          <w:instrText xml:space="preserve"> PAGEREF _Toc110241828 \h </w:instrText>
        </w:r>
        <w:r w:rsidR="000418C3">
          <w:rPr>
            <w:webHidden/>
          </w:rPr>
        </w:r>
        <w:r w:rsidR="000418C3">
          <w:rPr>
            <w:webHidden/>
          </w:rPr>
          <w:fldChar w:fldCharType="separate"/>
        </w:r>
        <w:r w:rsidR="00A6032A">
          <w:rPr>
            <w:webHidden/>
          </w:rPr>
          <w:t>45</w:t>
        </w:r>
        <w:r w:rsidR="000418C3">
          <w:rPr>
            <w:webHidden/>
          </w:rPr>
          <w:fldChar w:fldCharType="end"/>
        </w:r>
      </w:hyperlink>
    </w:p>
    <w:p w14:paraId="61388389" w14:textId="3A64449C" w:rsidR="000418C3" w:rsidRDefault="00D718CA">
      <w:pPr>
        <w:pStyle w:val="TOC2"/>
        <w:rPr>
          <w:rFonts w:asciiTheme="minorHAnsi" w:eastAsiaTheme="minorEastAsia" w:hAnsiTheme="minorHAnsi" w:cstheme="minorBidi"/>
          <w:color w:val="auto"/>
          <w:szCs w:val="22"/>
        </w:rPr>
      </w:pPr>
      <w:hyperlink w:anchor="_Toc110241829" w:history="1">
        <w:r w:rsidR="000418C3" w:rsidRPr="0037141E">
          <w:rPr>
            <w:rStyle w:val="Hyperlink"/>
          </w:rPr>
          <w:t>Effectiveness and capability of ASIC</w:t>
        </w:r>
        <w:r w:rsidR="00EF40B0">
          <w:rPr>
            <w:rStyle w:val="Hyperlink"/>
          </w:rPr>
          <w:t>’</w:t>
        </w:r>
        <w:r w:rsidR="000418C3" w:rsidRPr="0037141E">
          <w:rPr>
            <w:rStyle w:val="Hyperlink"/>
          </w:rPr>
          <w:t>s surveillance function</w:t>
        </w:r>
        <w:r w:rsidR="000418C3">
          <w:rPr>
            <w:webHidden/>
          </w:rPr>
          <w:tab/>
        </w:r>
        <w:r w:rsidR="000418C3">
          <w:rPr>
            <w:webHidden/>
          </w:rPr>
          <w:fldChar w:fldCharType="begin"/>
        </w:r>
        <w:r w:rsidR="000418C3">
          <w:rPr>
            <w:webHidden/>
          </w:rPr>
          <w:instrText xml:space="preserve"> PAGEREF _Toc110241829 \h </w:instrText>
        </w:r>
        <w:r w:rsidR="000418C3">
          <w:rPr>
            <w:webHidden/>
          </w:rPr>
        </w:r>
        <w:r w:rsidR="000418C3">
          <w:rPr>
            <w:webHidden/>
          </w:rPr>
          <w:fldChar w:fldCharType="separate"/>
        </w:r>
        <w:r w:rsidR="00A6032A">
          <w:rPr>
            <w:webHidden/>
          </w:rPr>
          <w:t>46</w:t>
        </w:r>
        <w:r w:rsidR="000418C3">
          <w:rPr>
            <w:webHidden/>
          </w:rPr>
          <w:fldChar w:fldCharType="end"/>
        </w:r>
      </w:hyperlink>
    </w:p>
    <w:p w14:paraId="501B008D" w14:textId="742BD9BD" w:rsidR="000418C3" w:rsidRDefault="00D718CA">
      <w:pPr>
        <w:pStyle w:val="TOC2"/>
        <w:rPr>
          <w:rFonts w:asciiTheme="minorHAnsi" w:eastAsiaTheme="minorEastAsia" w:hAnsiTheme="minorHAnsi" w:cstheme="minorBidi"/>
          <w:color w:val="auto"/>
          <w:szCs w:val="22"/>
        </w:rPr>
      </w:pPr>
      <w:hyperlink w:anchor="_Toc110241830" w:history="1">
        <w:r w:rsidR="000418C3" w:rsidRPr="0037141E">
          <w:rPr>
            <w:rStyle w:val="Hyperlink"/>
          </w:rPr>
          <w:t>Planned initiatives</w:t>
        </w:r>
        <w:r w:rsidR="000418C3">
          <w:rPr>
            <w:webHidden/>
          </w:rPr>
          <w:tab/>
        </w:r>
        <w:r w:rsidR="000418C3">
          <w:rPr>
            <w:webHidden/>
          </w:rPr>
          <w:fldChar w:fldCharType="begin"/>
        </w:r>
        <w:r w:rsidR="000418C3">
          <w:rPr>
            <w:webHidden/>
          </w:rPr>
          <w:instrText xml:space="preserve"> PAGEREF _Toc110241830 \h </w:instrText>
        </w:r>
        <w:r w:rsidR="000418C3">
          <w:rPr>
            <w:webHidden/>
          </w:rPr>
        </w:r>
        <w:r w:rsidR="000418C3">
          <w:rPr>
            <w:webHidden/>
          </w:rPr>
          <w:fldChar w:fldCharType="separate"/>
        </w:r>
        <w:r w:rsidR="00A6032A">
          <w:rPr>
            <w:webHidden/>
          </w:rPr>
          <w:t>59</w:t>
        </w:r>
        <w:r w:rsidR="000418C3">
          <w:rPr>
            <w:webHidden/>
          </w:rPr>
          <w:fldChar w:fldCharType="end"/>
        </w:r>
      </w:hyperlink>
    </w:p>
    <w:p w14:paraId="36F0FCA3" w14:textId="188ED492" w:rsidR="000418C3" w:rsidRDefault="00D718CA">
      <w:pPr>
        <w:pStyle w:val="TOC2"/>
        <w:rPr>
          <w:rFonts w:asciiTheme="minorHAnsi" w:eastAsiaTheme="minorEastAsia" w:hAnsiTheme="minorHAnsi" w:cstheme="minorBidi"/>
          <w:color w:val="auto"/>
          <w:szCs w:val="22"/>
        </w:rPr>
      </w:pPr>
      <w:hyperlink w:anchor="_Toc110241831" w:history="1">
        <w:r w:rsidR="000418C3" w:rsidRPr="0037141E">
          <w:rPr>
            <w:rStyle w:val="Hyperlink"/>
          </w:rPr>
          <w:t>Assessmen</w:t>
        </w:r>
        <w:r w:rsidR="000418C3" w:rsidRPr="0037141E">
          <w:rPr>
            <w:rStyle w:val="Hyperlink"/>
            <w:rFonts w:cstheme="minorHAnsi"/>
          </w:rPr>
          <w:t>t</w:t>
        </w:r>
        <w:r w:rsidR="000418C3">
          <w:rPr>
            <w:webHidden/>
          </w:rPr>
          <w:tab/>
        </w:r>
        <w:r w:rsidR="000418C3">
          <w:rPr>
            <w:webHidden/>
          </w:rPr>
          <w:fldChar w:fldCharType="begin"/>
        </w:r>
        <w:r w:rsidR="000418C3">
          <w:rPr>
            <w:webHidden/>
          </w:rPr>
          <w:instrText xml:space="preserve"> PAGEREF _Toc110241831 \h </w:instrText>
        </w:r>
        <w:r w:rsidR="000418C3">
          <w:rPr>
            <w:webHidden/>
          </w:rPr>
        </w:r>
        <w:r w:rsidR="000418C3">
          <w:rPr>
            <w:webHidden/>
          </w:rPr>
          <w:fldChar w:fldCharType="separate"/>
        </w:r>
        <w:r w:rsidR="00A6032A">
          <w:rPr>
            <w:webHidden/>
          </w:rPr>
          <w:t>59</w:t>
        </w:r>
        <w:r w:rsidR="000418C3">
          <w:rPr>
            <w:webHidden/>
          </w:rPr>
          <w:fldChar w:fldCharType="end"/>
        </w:r>
      </w:hyperlink>
    </w:p>
    <w:p w14:paraId="5618C3C4" w14:textId="7E28BEF1" w:rsidR="000418C3" w:rsidRDefault="00D718CA">
      <w:pPr>
        <w:pStyle w:val="TOC1"/>
        <w:rPr>
          <w:rFonts w:asciiTheme="minorHAnsi" w:eastAsiaTheme="minorEastAsia" w:hAnsiTheme="minorHAnsi" w:cstheme="minorBidi"/>
          <w:b w:val="0"/>
          <w:color w:val="auto"/>
        </w:rPr>
      </w:pPr>
      <w:hyperlink w:anchor="_Toc110241832" w:history="1">
        <w:r w:rsidR="000418C3" w:rsidRPr="0037141E">
          <w:rPr>
            <w:rStyle w:val="Hyperlink"/>
          </w:rPr>
          <w:t>Chapter 5: Licensing</w:t>
        </w:r>
        <w:r w:rsidR="000418C3">
          <w:rPr>
            <w:webHidden/>
          </w:rPr>
          <w:tab/>
        </w:r>
        <w:r w:rsidR="000418C3">
          <w:rPr>
            <w:webHidden/>
          </w:rPr>
          <w:fldChar w:fldCharType="begin"/>
        </w:r>
        <w:r w:rsidR="000418C3">
          <w:rPr>
            <w:webHidden/>
          </w:rPr>
          <w:instrText xml:space="preserve"> PAGEREF _Toc110241832 \h </w:instrText>
        </w:r>
        <w:r w:rsidR="000418C3">
          <w:rPr>
            <w:webHidden/>
          </w:rPr>
        </w:r>
        <w:r w:rsidR="000418C3">
          <w:rPr>
            <w:webHidden/>
          </w:rPr>
          <w:fldChar w:fldCharType="separate"/>
        </w:r>
        <w:r w:rsidR="00A6032A">
          <w:rPr>
            <w:webHidden/>
          </w:rPr>
          <w:t>61</w:t>
        </w:r>
        <w:r w:rsidR="000418C3">
          <w:rPr>
            <w:webHidden/>
          </w:rPr>
          <w:fldChar w:fldCharType="end"/>
        </w:r>
      </w:hyperlink>
    </w:p>
    <w:p w14:paraId="0F1B2C25" w14:textId="2AE01172" w:rsidR="000418C3" w:rsidRDefault="00D718CA">
      <w:pPr>
        <w:pStyle w:val="TOC2"/>
        <w:rPr>
          <w:rFonts w:asciiTheme="minorHAnsi" w:eastAsiaTheme="minorEastAsia" w:hAnsiTheme="minorHAnsi" w:cstheme="minorBidi"/>
          <w:color w:val="auto"/>
          <w:szCs w:val="22"/>
        </w:rPr>
      </w:pPr>
      <w:hyperlink w:anchor="_Toc110241833" w:history="1">
        <w:r w:rsidR="000418C3" w:rsidRPr="0037141E">
          <w:rPr>
            <w:rStyle w:val="Hyperlink"/>
            <w:rFonts w:eastAsiaTheme="minorHAnsi"/>
          </w:rPr>
          <w:t>Introduction</w:t>
        </w:r>
        <w:r w:rsidR="000418C3">
          <w:rPr>
            <w:webHidden/>
          </w:rPr>
          <w:tab/>
        </w:r>
        <w:r w:rsidR="000418C3">
          <w:rPr>
            <w:webHidden/>
          </w:rPr>
          <w:fldChar w:fldCharType="begin"/>
        </w:r>
        <w:r w:rsidR="000418C3">
          <w:rPr>
            <w:webHidden/>
          </w:rPr>
          <w:instrText xml:space="preserve"> PAGEREF _Toc110241833 \h </w:instrText>
        </w:r>
        <w:r w:rsidR="000418C3">
          <w:rPr>
            <w:webHidden/>
          </w:rPr>
        </w:r>
        <w:r w:rsidR="000418C3">
          <w:rPr>
            <w:webHidden/>
          </w:rPr>
          <w:fldChar w:fldCharType="separate"/>
        </w:r>
        <w:r w:rsidR="00A6032A">
          <w:rPr>
            <w:webHidden/>
          </w:rPr>
          <w:t>61</w:t>
        </w:r>
        <w:r w:rsidR="000418C3">
          <w:rPr>
            <w:webHidden/>
          </w:rPr>
          <w:fldChar w:fldCharType="end"/>
        </w:r>
      </w:hyperlink>
    </w:p>
    <w:p w14:paraId="2079372C" w14:textId="28C5DF80" w:rsidR="000418C3" w:rsidRDefault="00D718CA">
      <w:pPr>
        <w:pStyle w:val="TOC2"/>
        <w:rPr>
          <w:rFonts w:asciiTheme="minorHAnsi" w:eastAsiaTheme="minorEastAsia" w:hAnsiTheme="minorHAnsi" w:cstheme="minorBidi"/>
          <w:color w:val="auto"/>
          <w:szCs w:val="22"/>
        </w:rPr>
      </w:pPr>
      <w:hyperlink w:anchor="_Toc110241834" w:history="1">
        <w:r w:rsidR="000418C3" w:rsidRPr="0037141E">
          <w:rPr>
            <w:rStyle w:val="Hyperlink"/>
            <w:rFonts w:eastAsiaTheme="minorHAnsi"/>
          </w:rPr>
          <w:t>Licensing at ASIC</w:t>
        </w:r>
        <w:r w:rsidR="000418C3">
          <w:rPr>
            <w:webHidden/>
          </w:rPr>
          <w:tab/>
        </w:r>
        <w:r w:rsidR="000418C3">
          <w:rPr>
            <w:webHidden/>
          </w:rPr>
          <w:fldChar w:fldCharType="begin"/>
        </w:r>
        <w:r w:rsidR="000418C3">
          <w:rPr>
            <w:webHidden/>
          </w:rPr>
          <w:instrText xml:space="preserve"> PAGEREF _Toc110241834 \h </w:instrText>
        </w:r>
        <w:r w:rsidR="000418C3">
          <w:rPr>
            <w:webHidden/>
          </w:rPr>
        </w:r>
        <w:r w:rsidR="000418C3">
          <w:rPr>
            <w:webHidden/>
          </w:rPr>
          <w:fldChar w:fldCharType="separate"/>
        </w:r>
        <w:r w:rsidR="00A6032A">
          <w:rPr>
            <w:webHidden/>
          </w:rPr>
          <w:t>61</w:t>
        </w:r>
        <w:r w:rsidR="000418C3">
          <w:rPr>
            <w:webHidden/>
          </w:rPr>
          <w:fldChar w:fldCharType="end"/>
        </w:r>
      </w:hyperlink>
    </w:p>
    <w:p w14:paraId="65466182" w14:textId="2B9397D7" w:rsidR="000418C3" w:rsidRDefault="00D718CA">
      <w:pPr>
        <w:pStyle w:val="TOC2"/>
        <w:rPr>
          <w:rFonts w:asciiTheme="minorHAnsi" w:eastAsiaTheme="minorEastAsia" w:hAnsiTheme="minorHAnsi" w:cstheme="minorBidi"/>
          <w:color w:val="auto"/>
          <w:szCs w:val="22"/>
        </w:rPr>
      </w:pPr>
      <w:hyperlink w:anchor="_Toc110241835" w:history="1">
        <w:r w:rsidR="000418C3" w:rsidRPr="0037141E">
          <w:rPr>
            <w:rStyle w:val="Hyperlink"/>
            <w:rFonts w:eastAsiaTheme="minorHAnsi"/>
          </w:rPr>
          <w:t>Effectiveness and capability of ASIC</w:t>
        </w:r>
        <w:r w:rsidR="00EF40B0">
          <w:rPr>
            <w:rStyle w:val="Hyperlink"/>
            <w:rFonts w:eastAsiaTheme="minorHAnsi"/>
          </w:rPr>
          <w:t>’</w:t>
        </w:r>
        <w:r w:rsidR="000418C3" w:rsidRPr="0037141E">
          <w:rPr>
            <w:rStyle w:val="Hyperlink"/>
            <w:rFonts w:eastAsiaTheme="minorHAnsi"/>
          </w:rPr>
          <w:t>s licensing function</w:t>
        </w:r>
        <w:r w:rsidR="000418C3">
          <w:rPr>
            <w:webHidden/>
          </w:rPr>
          <w:tab/>
        </w:r>
        <w:r w:rsidR="000418C3">
          <w:rPr>
            <w:webHidden/>
          </w:rPr>
          <w:fldChar w:fldCharType="begin"/>
        </w:r>
        <w:r w:rsidR="000418C3">
          <w:rPr>
            <w:webHidden/>
          </w:rPr>
          <w:instrText xml:space="preserve"> PAGEREF _Toc110241835 \h </w:instrText>
        </w:r>
        <w:r w:rsidR="000418C3">
          <w:rPr>
            <w:webHidden/>
          </w:rPr>
        </w:r>
        <w:r w:rsidR="000418C3">
          <w:rPr>
            <w:webHidden/>
          </w:rPr>
          <w:fldChar w:fldCharType="separate"/>
        </w:r>
        <w:r w:rsidR="00A6032A">
          <w:rPr>
            <w:webHidden/>
          </w:rPr>
          <w:t>64</w:t>
        </w:r>
        <w:r w:rsidR="000418C3">
          <w:rPr>
            <w:webHidden/>
          </w:rPr>
          <w:fldChar w:fldCharType="end"/>
        </w:r>
      </w:hyperlink>
    </w:p>
    <w:p w14:paraId="58179FDA" w14:textId="7C654BC7" w:rsidR="000418C3" w:rsidRDefault="00D718CA">
      <w:pPr>
        <w:pStyle w:val="TOC2"/>
        <w:rPr>
          <w:rFonts w:asciiTheme="minorHAnsi" w:eastAsiaTheme="minorEastAsia" w:hAnsiTheme="minorHAnsi" w:cstheme="minorBidi"/>
          <w:color w:val="auto"/>
          <w:szCs w:val="22"/>
        </w:rPr>
      </w:pPr>
      <w:hyperlink w:anchor="_Toc110241836" w:history="1">
        <w:r w:rsidR="000418C3" w:rsidRPr="0037141E">
          <w:rPr>
            <w:rStyle w:val="Hyperlink"/>
          </w:rPr>
          <w:t>Planned initiatives</w:t>
        </w:r>
        <w:r w:rsidR="000418C3">
          <w:rPr>
            <w:webHidden/>
          </w:rPr>
          <w:tab/>
        </w:r>
        <w:r w:rsidR="000418C3">
          <w:rPr>
            <w:webHidden/>
          </w:rPr>
          <w:fldChar w:fldCharType="begin"/>
        </w:r>
        <w:r w:rsidR="000418C3">
          <w:rPr>
            <w:webHidden/>
          </w:rPr>
          <w:instrText xml:space="preserve"> PAGEREF _Toc110241836 \h </w:instrText>
        </w:r>
        <w:r w:rsidR="000418C3">
          <w:rPr>
            <w:webHidden/>
          </w:rPr>
        </w:r>
        <w:r w:rsidR="000418C3">
          <w:rPr>
            <w:webHidden/>
          </w:rPr>
          <w:fldChar w:fldCharType="separate"/>
        </w:r>
        <w:r w:rsidR="00A6032A">
          <w:rPr>
            <w:webHidden/>
          </w:rPr>
          <w:t>78</w:t>
        </w:r>
        <w:r w:rsidR="000418C3">
          <w:rPr>
            <w:webHidden/>
          </w:rPr>
          <w:fldChar w:fldCharType="end"/>
        </w:r>
      </w:hyperlink>
    </w:p>
    <w:p w14:paraId="1D5C500E" w14:textId="3FA3F128" w:rsidR="000418C3" w:rsidRDefault="00D718CA">
      <w:pPr>
        <w:pStyle w:val="TOC2"/>
        <w:rPr>
          <w:rFonts w:asciiTheme="minorHAnsi" w:eastAsiaTheme="minorEastAsia" w:hAnsiTheme="minorHAnsi" w:cstheme="minorBidi"/>
          <w:color w:val="auto"/>
          <w:szCs w:val="22"/>
        </w:rPr>
      </w:pPr>
      <w:hyperlink w:anchor="_Toc110241837" w:history="1">
        <w:r w:rsidR="000418C3" w:rsidRPr="0037141E">
          <w:rPr>
            <w:rStyle w:val="Hyperlink"/>
          </w:rPr>
          <w:t>Assessment</w:t>
        </w:r>
        <w:r w:rsidR="000418C3">
          <w:rPr>
            <w:webHidden/>
          </w:rPr>
          <w:tab/>
        </w:r>
        <w:r w:rsidR="000418C3">
          <w:rPr>
            <w:webHidden/>
          </w:rPr>
          <w:fldChar w:fldCharType="begin"/>
        </w:r>
        <w:r w:rsidR="000418C3">
          <w:rPr>
            <w:webHidden/>
          </w:rPr>
          <w:instrText xml:space="preserve"> PAGEREF _Toc110241837 \h </w:instrText>
        </w:r>
        <w:r w:rsidR="000418C3">
          <w:rPr>
            <w:webHidden/>
          </w:rPr>
        </w:r>
        <w:r w:rsidR="000418C3">
          <w:rPr>
            <w:webHidden/>
          </w:rPr>
          <w:fldChar w:fldCharType="separate"/>
        </w:r>
        <w:r w:rsidR="00A6032A">
          <w:rPr>
            <w:webHidden/>
          </w:rPr>
          <w:t>79</w:t>
        </w:r>
        <w:r w:rsidR="000418C3">
          <w:rPr>
            <w:webHidden/>
          </w:rPr>
          <w:fldChar w:fldCharType="end"/>
        </w:r>
      </w:hyperlink>
    </w:p>
    <w:p w14:paraId="7977E51A" w14:textId="0D5DD70A" w:rsidR="000418C3" w:rsidRDefault="00D718CA">
      <w:pPr>
        <w:pStyle w:val="TOC1"/>
        <w:rPr>
          <w:rFonts w:asciiTheme="minorHAnsi" w:eastAsiaTheme="minorEastAsia" w:hAnsiTheme="minorHAnsi" w:cstheme="minorBidi"/>
          <w:b w:val="0"/>
          <w:color w:val="auto"/>
        </w:rPr>
      </w:pPr>
      <w:hyperlink w:anchor="_Toc110241838" w:history="1">
        <w:r w:rsidR="000418C3" w:rsidRPr="0037141E">
          <w:rPr>
            <w:rStyle w:val="Hyperlink"/>
          </w:rPr>
          <w:t>Chapter 6: Outcomes of this review</w:t>
        </w:r>
        <w:r w:rsidR="000418C3">
          <w:rPr>
            <w:webHidden/>
          </w:rPr>
          <w:tab/>
        </w:r>
        <w:r w:rsidR="000418C3">
          <w:rPr>
            <w:webHidden/>
          </w:rPr>
          <w:fldChar w:fldCharType="begin"/>
        </w:r>
        <w:r w:rsidR="000418C3">
          <w:rPr>
            <w:webHidden/>
          </w:rPr>
          <w:instrText xml:space="preserve"> PAGEREF _Toc110241838 \h </w:instrText>
        </w:r>
        <w:r w:rsidR="000418C3">
          <w:rPr>
            <w:webHidden/>
          </w:rPr>
        </w:r>
        <w:r w:rsidR="000418C3">
          <w:rPr>
            <w:webHidden/>
          </w:rPr>
          <w:fldChar w:fldCharType="separate"/>
        </w:r>
        <w:r w:rsidR="00A6032A">
          <w:rPr>
            <w:webHidden/>
          </w:rPr>
          <w:t>81</w:t>
        </w:r>
        <w:r w:rsidR="000418C3">
          <w:rPr>
            <w:webHidden/>
          </w:rPr>
          <w:fldChar w:fldCharType="end"/>
        </w:r>
      </w:hyperlink>
    </w:p>
    <w:p w14:paraId="079D033F" w14:textId="3B792B3B" w:rsidR="000418C3" w:rsidRDefault="00D718CA">
      <w:pPr>
        <w:pStyle w:val="TOC2"/>
        <w:rPr>
          <w:rFonts w:asciiTheme="minorHAnsi" w:eastAsiaTheme="minorEastAsia" w:hAnsiTheme="minorHAnsi" w:cstheme="minorBidi"/>
          <w:color w:val="auto"/>
          <w:szCs w:val="22"/>
        </w:rPr>
      </w:pPr>
      <w:hyperlink w:anchor="_Toc110241839" w:history="1">
        <w:r w:rsidR="000418C3" w:rsidRPr="0037141E">
          <w:rPr>
            <w:rStyle w:val="Hyperlink"/>
            <w:rFonts w:eastAsiaTheme="minorHAnsi"/>
          </w:rPr>
          <w:t>Introduction</w:t>
        </w:r>
        <w:r w:rsidR="000418C3">
          <w:rPr>
            <w:webHidden/>
          </w:rPr>
          <w:tab/>
        </w:r>
        <w:r w:rsidR="000418C3">
          <w:rPr>
            <w:webHidden/>
          </w:rPr>
          <w:fldChar w:fldCharType="begin"/>
        </w:r>
        <w:r w:rsidR="000418C3">
          <w:rPr>
            <w:webHidden/>
          </w:rPr>
          <w:instrText xml:space="preserve"> PAGEREF _Toc110241839 \h </w:instrText>
        </w:r>
        <w:r w:rsidR="000418C3">
          <w:rPr>
            <w:webHidden/>
          </w:rPr>
        </w:r>
        <w:r w:rsidR="000418C3">
          <w:rPr>
            <w:webHidden/>
          </w:rPr>
          <w:fldChar w:fldCharType="separate"/>
        </w:r>
        <w:r w:rsidR="00A6032A">
          <w:rPr>
            <w:webHidden/>
          </w:rPr>
          <w:t>81</w:t>
        </w:r>
        <w:r w:rsidR="000418C3">
          <w:rPr>
            <w:webHidden/>
          </w:rPr>
          <w:fldChar w:fldCharType="end"/>
        </w:r>
      </w:hyperlink>
    </w:p>
    <w:p w14:paraId="2D923179" w14:textId="6543090F" w:rsidR="000418C3" w:rsidRDefault="00D718CA">
      <w:pPr>
        <w:pStyle w:val="TOC2"/>
        <w:rPr>
          <w:rFonts w:asciiTheme="minorHAnsi" w:eastAsiaTheme="minorEastAsia" w:hAnsiTheme="minorHAnsi" w:cstheme="minorBidi"/>
          <w:color w:val="auto"/>
          <w:szCs w:val="22"/>
        </w:rPr>
      </w:pPr>
      <w:hyperlink w:anchor="_Toc110241840" w:history="1">
        <w:r w:rsidR="000418C3" w:rsidRPr="0037141E">
          <w:rPr>
            <w:rStyle w:val="Hyperlink"/>
            <w:rFonts w:eastAsiaTheme="minorHAnsi"/>
          </w:rPr>
          <w:t>Data and technology</w:t>
        </w:r>
        <w:r w:rsidR="000418C3">
          <w:rPr>
            <w:webHidden/>
          </w:rPr>
          <w:tab/>
        </w:r>
        <w:r w:rsidR="000418C3">
          <w:rPr>
            <w:webHidden/>
          </w:rPr>
          <w:fldChar w:fldCharType="begin"/>
        </w:r>
        <w:r w:rsidR="000418C3">
          <w:rPr>
            <w:webHidden/>
          </w:rPr>
          <w:instrText xml:space="preserve"> PAGEREF _Toc110241840 \h </w:instrText>
        </w:r>
        <w:r w:rsidR="000418C3">
          <w:rPr>
            <w:webHidden/>
          </w:rPr>
        </w:r>
        <w:r w:rsidR="000418C3">
          <w:rPr>
            <w:webHidden/>
          </w:rPr>
          <w:fldChar w:fldCharType="separate"/>
        </w:r>
        <w:r w:rsidR="00A6032A">
          <w:rPr>
            <w:webHidden/>
          </w:rPr>
          <w:t>81</w:t>
        </w:r>
        <w:r w:rsidR="000418C3">
          <w:rPr>
            <w:webHidden/>
          </w:rPr>
          <w:fldChar w:fldCharType="end"/>
        </w:r>
      </w:hyperlink>
    </w:p>
    <w:p w14:paraId="5C80C187" w14:textId="650F5D5A" w:rsidR="000418C3" w:rsidRDefault="00D718CA">
      <w:pPr>
        <w:pStyle w:val="TOC2"/>
        <w:rPr>
          <w:rFonts w:asciiTheme="minorHAnsi" w:eastAsiaTheme="minorEastAsia" w:hAnsiTheme="minorHAnsi" w:cstheme="minorBidi"/>
          <w:color w:val="auto"/>
          <w:szCs w:val="22"/>
        </w:rPr>
      </w:pPr>
      <w:hyperlink w:anchor="_Toc110241841" w:history="1">
        <w:r w:rsidR="000418C3" w:rsidRPr="0037141E">
          <w:rPr>
            <w:rStyle w:val="Hyperlink"/>
          </w:rPr>
          <w:t>Quality of engagement</w:t>
        </w:r>
        <w:r w:rsidR="000418C3" w:rsidRPr="0037141E">
          <w:rPr>
            <w:rStyle w:val="Hyperlink"/>
            <w:rFonts w:eastAsiaTheme="minorHAnsi"/>
          </w:rPr>
          <w:t xml:space="preserve"> with stakeholders</w:t>
        </w:r>
        <w:r w:rsidR="000418C3">
          <w:rPr>
            <w:webHidden/>
          </w:rPr>
          <w:tab/>
        </w:r>
        <w:r w:rsidR="000418C3">
          <w:rPr>
            <w:webHidden/>
          </w:rPr>
          <w:fldChar w:fldCharType="begin"/>
        </w:r>
        <w:r w:rsidR="000418C3">
          <w:rPr>
            <w:webHidden/>
          </w:rPr>
          <w:instrText xml:space="preserve"> PAGEREF _Toc110241841 \h </w:instrText>
        </w:r>
        <w:r w:rsidR="000418C3">
          <w:rPr>
            <w:webHidden/>
          </w:rPr>
        </w:r>
        <w:r w:rsidR="000418C3">
          <w:rPr>
            <w:webHidden/>
          </w:rPr>
          <w:fldChar w:fldCharType="separate"/>
        </w:r>
        <w:r w:rsidR="00A6032A">
          <w:rPr>
            <w:webHidden/>
          </w:rPr>
          <w:t>82</w:t>
        </w:r>
        <w:r w:rsidR="000418C3">
          <w:rPr>
            <w:webHidden/>
          </w:rPr>
          <w:fldChar w:fldCharType="end"/>
        </w:r>
      </w:hyperlink>
    </w:p>
    <w:p w14:paraId="528D3853" w14:textId="74378E03" w:rsidR="000418C3" w:rsidRDefault="00D718CA">
      <w:pPr>
        <w:pStyle w:val="TOC2"/>
        <w:rPr>
          <w:rFonts w:asciiTheme="minorHAnsi" w:eastAsiaTheme="minorEastAsia" w:hAnsiTheme="minorHAnsi" w:cstheme="minorBidi"/>
          <w:color w:val="auto"/>
          <w:szCs w:val="22"/>
        </w:rPr>
      </w:pPr>
      <w:hyperlink w:anchor="_Toc110241842" w:history="1">
        <w:r w:rsidR="000418C3" w:rsidRPr="0037141E">
          <w:rPr>
            <w:rStyle w:val="Hyperlink"/>
          </w:rPr>
          <w:t>Measuring, assessing and reporting on outcomes</w:t>
        </w:r>
        <w:r w:rsidR="000418C3">
          <w:rPr>
            <w:webHidden/>
          </w:rPr>
          <w:tab/>
        </w:r>
        <w:r w:rsidR="000418C3">
          <w:rPr>
            <w:webHidden/>
          </w:rPr>
          <w:fldChar w:fldCharType="begin"/>
        </w:r>
        <w:r w:rsidR="000418C3">
          <w:rPr>
            <w:webHidden/>
          </w:rPr>
          <w:instrText xml:space="preserve"> PAGEREF _Toc110241842 \h </w:instrText>
        </w:r>
        <w:r w:rsidR="000418C3">
          <w:rPr>
            <w:webHidden/>
          </w:rPr>
        </w:r>
        <w:r w:rsidR="000418C3">
          <w:rPr>
            <w:webHidden/>
          </w:rPr>
          <w:fldChar w:fldCharType="separate"/>
        </w:r>
        <w:r w:rsidR="00A6032A">
          <w:rPr>
            <w:webHidden/>
          </w:rPr>
          <w:t>85</w:t>
        </w:r>
        <w:r w:rsidR="000418C3">
          <w:rPr>
            <w:webHidden/>
          </w:rPr>
          <w:fldChar w:fldCharType="end"/>
        </w:r>
      </w:hyperlink>
    </w:p>
    <w:p w14:paraId="0EB6B1A8" w14:textId="20315A12" w:rsidR="000418C3" w:rsidRDefault="00D718CA">
      <w:pPr>
        <w:pStyle w:val="TOC2"/>
        <w:rPr>
          <w:rFonts w:asciiTheme="minorHAnsi" w:eastAsiaTheme="minorEastAsia" w:hAnsiTheme="minorHAnsi" w:cstheme="minorBidi"/>
          <w:color w:val="auto"/>
          <w:szCs w:val="22"/>
        </w:rPr>
      </w:pPr>
      <w:hyperlink w:anchor="_Toc110241843" w:history="1">
        <w:r w:rsidR="000418C3" w:rsidRPr="0037141E">
          <w:rPr>
            <w:rStyle w:val="Hyperlink"/>
          </w:rPr>
          <w:t>Mix of skill sets</w:t>
        </w:r>
        <w:r w:rsidR="000418C3">
          <w:rPr>
            <w:webHidden/>
          </w:rPr>
          <w:tab/>
        </w:r>
        <w:r w:rsidR="000418C3">
          <w:rPr>
            <w:webHidden/>
          </w:rPr>
          <w:fldChar w:fldCharType="begin"/>
        </w:r>
        <w:r w:rsidR="000418C3">
          <w:rPr>
            <w:webHidden/>
          </w:rPr>
          <w:instrText xml:space="preserve"> PAGEREF _Toc110241843 \h </w:instrText>
        </w:r>
        <w:r w:rsidR="000418C3">
          <w:rPr>
            <w:webHidden/>
          </w:rPr>
        </w:r>
        <w:r w:rsidR="000418C3">
          <w:rPr>
            <w:webHidden/>
          </w:rPr>
          <w:fldChar w:fldCharType="separate"/>
        </w:r>
        <w:r w:rsidR="00A6032A">
          <w:rPr>
            <w:webHidden/>
          </w:rPr>
          <w:t>86</w:t>
        </w:r>
        <w:r w:rsidR="000418C3">
          <w:rPr>
            <w:webHidden/>
          </w:rPr>
          <w:fldChar w:fldCharType="end"/>
        </w:r>
      </w:hyperlink>
    </w:p>
    <w:p w14:paraId="11CA23EB" w14:textId="18E09640" w:rsidR="000418C3" w:rsidRDefault="00D718CA">
      <w:pPr>
        <w:pStyle w:val="TOC1"/>
        <w:rPr>
          <w:rFonts w:asciiTheme="minorHAnsi" w:eastAsiaTheme="minorEastAsia" w:hAnsiTheme="minorHAnsi" w:cstheme="minorBidi"/>
          <w:b w:val="0"/>
          <w:color w:val="auto"/>
        </w:rPr>
      </w:pPr>
      <w:hyperlink w:anchor="_Toc110241844" w:history="1">
        <w:r w:rsidR="000418C3" w:rsidRPr="0037141E">
          <w:rPr>
            <w:rStyle w:val="Hyperlink"/>
          </w:rPr>
          <w:t>Abbreviations and acronyms</w:t>
        </w:r>
        <w:r w:rsidR="000418C3">
          <w:rPr>
            <w:webHidden/>
          </w:rPr>
          <w:tab/>
        </w:r>
        <w:r w:rsidR="000418C3">
          <w:rPr>
            <w:webHidden/>
          </w:rPr>
          <w:fldChar w:fldCharType="begin"/>
        </w:r>
        <w:r w:rsidR="000418C3">
          <w:rPr>
            <w:webHidden/>
          </w:rPr>
          <w:instrText xml:space="preserve"> PAGEREF _Toc110241844 \h </w:instrText>
        </w:r>
        <w:r w:rsidR="000418C3">
          <w:rPr>
            <w:webHidden/>
          </w:rPr>
        </w:r>
        <w:r w:rsidR="000418C3">
          <w:rPr>
            <w:webHidden/>
          </w:rPr>
          <w:fldChar w:fldCharType="separate"/>
        </w:r>
        <w:r w:rsidR="00A6032A">
          <w:rPr>
            <w:webHidden/>
          </w:rPr>
          <w:t>89</w:t>
        </w:r>
        <w:r w:rsidR="000418C3">
          <w:rPr>
            <w:webHidden/>
          </w:rPr>
          <w:fldChar w:fldCharType="end"/>
        </w:r>
      </w:hyperlink>
    </w:p>
    <w:p w14:paraId="12D0B675" w14:textId="066A8A0B" w:rsidR="000418C3" w:rsidRDefault="00D718CA">
      <w:pPr>
        <w:pStyle w:val="TOC1"/>
        <w:rPr>
          <w:rFonts w:asciiTheme="minorHAnsi" w:eastAsiaTheme="minorEastAsia" w:hAnsiTheme="minorHAnsi" w:cstheme="minorBidi"/>
          <w:b w:val="0"/>
          <w:color w:val="auto"/>
        </w:rPr>
      </w:pPr>
      <w:hyperlink w:anchor="_Toc110241845" w:history="1">
        <w:r w:rsidR="000418C3" w:rsidRPr="0037141E">
          <w:rPr>
            <w:rStyle w:val="Hyperlink"/>
          </w:rPr>
          <w:t>Appendix A: Methodology of this review</w:t>
        </w:r>
        <w:r w:rsidR="000418C3">
          <w:rPr>
            <w:webHidden/>
          </w:rPr>
          <w:tab/>
        </w:r>
        <w:r w:rsidR="000418C3">
          <w:rPr>
            <w:webHidden/>
          </w:rPr>
          <w:fldChar w:fldCharType="begin"/>
        </w:r>
        <w:r w:rsidR="000418C3">
          <w:rPr>
            <w:webHidden/>
          </w:rPr>
          <w:instrText xml:space="preserve"> PAGEREF _Toc110241845 \h </w:instrText>
        </w:r>
        <w:r w:rsidR="000418C3">
          <w:rPr>
            <w:webHidden/>
          </w:rPr>
        </w:r>
        <w:r w:rsidR="000418C3">
          <w:rPr>
            <w:webHidden/>
          </w:rPr>
          <w:fldChar w:fldCharType="separate"/>
        </w:r>
        <w:r w:rsidR="00A6032A">
          <w:rPr>
            <w:webHidden/>
          </w:rPr>
          <w:t>91</w:t>
        </w:r>
        <w:r w:rsidR="000418C3">
          <w:rPr>
            <w:webHidden/>
          </w:rPr>
          <w:fldChar w:fldCharType="end"/>
        </w:r>
      </w:hyperlink>
    </w:p>
    <w:p w14:paraId="6BF44FF0" w14:textId="36D1B11D" w:rsidR="000418C3" w:rsidRDefault="00D718CA">
      <w:pPr>
        <w:pStyle w:val="TOC1"/>
        <w:rPr>
          <w:rFonts w:asciiTheme="minorHAnsi" w:eastAsiaTheme="minorEastAsia" w:hAnsiTheme="minorHAnsi" w:cstheme="minorBidi"/>
          <w:b w:val="0"/>
          <w:color w:val="auto"/>
        </w:rPr>
      </w:pPr>
      <w:hyperlink w:anchor="_Toc110241846" w:history="1">
        <w:r w:rsidR="000418C3" w:rsidRPr="0037141E">
          <w:rPr>
            <w:rStyle w:val="Hyperlink"/>
          </w:rPr>
          <w:t>Appendix B: Examples of international frameworks for measuring performance</w:t>
        </w:r>
        <w:r w:rsidR="000418C3">
          <w:rPr>
            <w:webHidden/>
          </w:rPr>
          <w:tab/>
        </w:r>
        <w:r w:rsidR="000418C3">
          <w:rPr>
            <w:webHidden/>
          </w:rPr>
          <w:fldChar w:fldCharType="begin"/>
        </w:r>
        <w:r w:rsidR="000418C3">
          <w:rPr>
            <w:webHidden/>
          </w:rPr>
          <w:instrText xml:space="preserve"> PAGEREF _Toc110241846 \h </w:instrText>
        </w:r>
        <w:r w:rsidR="000418C3">
          <w:rPr>
            <w:webHidden/>
          </w:rPr>
        </w:r>
        <w:r w:rsidR="000418C3">
          <w:rPr>
            <w:webHidden/>
          </w:rPr>
          <w:fldChar w:fldCharType="separate"/>
        </w:r>
        <w:r w:rsidR="00A6032A">
          <w:rPr>
            <w:webHidden/>
          </w:rPr>
          <w:t>97</w:t>
        </w:r>
        <w:r w:rsidR="000418C3">
          <w:rPr>
            <w:webHidden/>
          </w:rPr>
          <w:fldChar w:fldCharType="end"/>
        </w:r>
      </w:hyperlink>
    </w:p>
    <w:p w14:paraId="2A54690B" w14:textId="1D6D9E35" w:rsidR="00F836F9" w:rsidRDefault="00F559D9" w:rsidP="00384CF4">
      <w:pPr>
        <w:pStyle w:val="SingleParagraph"/>
        <w:numPr>
          <w:ilvl w:val="0"/>
          <w:numId w:val="0"/>
        </w:numPr>
        <w:ind w:left="614" w:right="-2"/>
        <w:sectPr w:rsidR="00F836F9" w:rsidSect="00F559D9">
          <w:headerReference w:type="even" r:id="rId23"/>
          <w:headerReference w:type="default" r:id="rId24"/>
          <w:footerReference w:type="even" r:id="rId25"/>
          <w:headerReference w:type="first" r:id="rId26"/>
          <w:footerReference w:type="first" r:id="rId27"/>
          <w:type w:val="oddPage"/>
          <w:pgSz w:w="11906" w:h="16838" w:code="9"/>
          <w:pgMar w:top="1418" w:right="1418" w:bottom="1418" w:left="1418" w:header="709" w:footer="709" w:gutter="0"/>
          <w:pgNumType w:fmt="lowerRoman"/>
          <w:cols w:space="708"/>
          <w:docGrid w:linePitch="360"/>
        </w:sectPr>
      </w:pPr>
      <w:r>
        <w:rPr>
          <w:b/>
          <w:noProof/>
          <w:color w:val="004A7F"/>
          <w:szCs w:val="22"/>
        </w:rPr>
        <w:fldChar w:fldCharType="end"/>
      </w:r>
    </w:p>
    <w:p w14:paraId="034C58E5" w14:textId="4F4CF4DF" w:rsidR="003C24B4" w:rsidRDefault="00127B77" w:rsidP="0081562F">
      <w:pPr>
        <w:pStyle w:val="Heading1"/>
      </w:pPr>
      <w:bookmarkStart w:id="6" w:name="_Toc110241801"/>
      <w:bookmarkEnd w:id="4"/>
      <w:bookmarkEnd w:id="5"/>
      <w:r w:rsidRPr="000A5AD2">
        <w:lastRenderedPageBreak/>
        <w:t>Acknowledgment</w:t>
      </w:r>
      <w:r w:rsidR="0027185F" w:rsidRPr="000A5AD2">
        <w:t>s</w:t>
      </w:r>
      <w:bookmarkEnd w:id="6"/>
    </w:p>
    <w:p w14:paraId="0BB76795" w14:textId="62B25037" w:rsidR="00E5620F" w:rsidRPr="00E5620F" w:rsidRDefault="00E5620F" w:rsidP="00E5620F">
      <w:r w:rsidRPr="00E5620F">
        <w:t xml:space="preserve">The FRAA would like to thank the ASIC </w:t>
      </w:r>
      <w:r>
        <w:t>C</w:t>
      </w:r>
      <w:r w:rsidRPr="00E5620F">
        <w:t xml:space="preserve">hair, </w:t>
      </w:r>
      <w:r w:rsidR="000C18A3">
        <w:t>d</w:t>
      </w:r>
      <w:r w:rsidRPr="00E5620F">
        <w:t xml:space="preserve">eputy </w:t>
      </w:r>
      <w:r w:rsidR="000C18A3">
        <w:t>c</w:t>
      </w:r>
      <w:r w:rsidRPr="00E5620F">
        <w:t xml:space="preserve">hairs, </w:t>
      </w:r>
      <w:r w:rsidR="000C18A3">
        <w:t>c</w:t>
      </w:r>
      <w:r w:rsidRPr="00E5620F">
        <w:t>ommissioners, senior executive leaders and staff for their assistance and engagement in th</w:t>
      </w:r>
      <w:r w:rsidR="004318B5">
        <w:t>is</w:t>
      </w:r>
      <w:r w:rsidRPr="00E5620F">
        <w:t xml:space="preserve"> review. </w:t>
      </w:r>
    </w:p>
    <w:p w14:paraId="160D64D2" w14:textId="23D16504" w:rsidR="00A93505" w:rsidRDefault="00A93505" w:rsidP="00E5620F">
      <w:r w:rsidRPr="00A93505">
        <w:t xml:space="preserve">The FRAA would also like to thank everyone who generously gave their </w:t>
      </w:r>
      <w:r>
        <w:t>thoughts</w:t>
      </w:r>
      <w:r w:rsidRPr="00A93505">
        <w:t xml:space="preserve">, </w:t>
      </w:r>
      <w:r>
        <w:t>insights</w:t>
      </w:r>
      <w:r w:rsidRPr="00A93505">
        <w:t xml:space="preserve"> and time throughout the consultation process, particularly </w:t>
      </w:r>
      <w:r w:rsidR="00800F2C">
        <w:t xml:space="preserve">through </w:t>
      </w:r>
      <w:r w:rsidRPr="00A93505">
        <w:t>participation in meetings, focus groups and surveys, and preparation of submissions.</w:t>
      </w:r>
    </w:p>
    <w:p w14:paraId="1AE18DC7" w14:textId="62B97B54" w:rsidR="00E5620F" w:rsidRPr="00E5620F" w:rsidRDefault="00E5620F" w:rsidP="00E5620F">
      <w:r w:rsidRPr="00E5620F">
        <w:t>The FRAA wishes to acknowledge the assistance of Boston Consulting Group for identifying, collating and preparing evidentiary material for th</w:t>
      </w:r>
      <w:r w:rsidR="004318B5">
        <w:t>is</w:t>
      </w:r>
      <w:r w:rsidRPr="00E5620F">
        <w:t xml:space="preserve"> review. </w:t>
      </w:r>
    </w:p>
    <w:p w14:paraId="5A08DBB1" w14:textId="2E92F86E" w:rsidR="00191B9A" w:rsidRPr="00191B9A" w:rsidRDefault="00191B9A" w:rsidP="00191B9A">
      <w:r w:rsidRPr="00191B9A">
        <w:t>The FRAA acknowledges the significant contribution of Ms Gina Cass</w:t>
      </w:r>
      <w:r w:rsidR="00EF40B0">
        <w:noBreakHyphen/>
      </w:r>
      <w:r w:rsidRPr="00191B9A">
        <w:t>Gottlieb to this review of ASIC during her time as an inaugural member of the FRAA</w:t>
      </w:r>
      <w:r w:rsidRPr="00191B9A" w:rsidDel="00EA71F8">
        <w:t xml:space="preserve">. </w:t>
      </w:r>
    </w:p>
    <w:p w14:paraId="20E0EB52" w14:textId="06B9DC79" w:rsidR="00756F86" w:rsidRPr="00191B9A" w:rsidRDefault="00756F86" w:rsidP="00191B9A">
      <w:r w:rsidRPr="00756F86">
        <w:t xml:space="preserve">Finally, the FRAA wishes to acknowledge the support provided by members of </w:t>
      </w:r>
      <w:r w:rsidR="00F76A35">
        <w:t xml:space="preserve">the </w:t>
      </w:r>
      <w:r w:rsidRPr="00756F86">
        <w:t>Treasury Secretariat.</w:t>
      </w:r>
    </w:p>
    <w:p w14:paraId="48C15F96" w14:textId="77777777" w:rsidR="003157CF" w:rsidRPr="003157CF" w:rsidRDefault="003157CF" w:rsidP="003157CF"/>
    <w:p w14:paraId="2B8BC9B6" w14:textId="77777777" w:rsidR="00C17C02" w:rsidRPr="006433C7" w:rsidRDefault="00C17C02" w:rsidP="006433C7">
      <w:pPr>
        <w:sectPr w:rsidR="00C17C02" w:rsidRPr="006433C7" w:rsidSect="00F559D9">
          <w:headerReference w:type="even" r:id="rId28"/>
          <w:headerReference w:type="default" r:id="rId29"/>
          <w:footerReference w:type="even" r:id="rId30"/>
          <w:footerReference w:type="default" r:id="rId31"/>
          <w:headerReference w:type="first" r:id="rId32"/>
          <w:footerReference w:type="first" r:id="rId33"/>
          <w:type w:val="oddPage"/>
          <w:pgSz w:w="11906" w:h="16838" w:code="9"/>
          <w:pgMar w:top="1418" w:right="1418" w:bottom="1418" w:left="1418" w:header="709" w:footer="709" w:gutter="0"/>
          <w:pgNumType w:start="1"/>
          <w:cols w:space="708"/>
          <w:docGrid w:linePitch="360"/>
        </w:sectPr>
      </w:pPr>
    </w:p>
    <w:p w14:paraId="1C988315" w14:textId="69E0082C" w:rsidR="00840145" w:rsidRPr="00840145" w:rsidRDefault="00840145" w:rsidP="00B96E03">
      <w:pPr>
        <w:pStyle w:val="Heading1"/>
      </w:pPr>
      <w:bookmarkStart w:id="7" w:name="_Toc110241802"/>
      <w:r w:rsidRPr="00840145">
        <w:lastRenderedPageBreak/>
        <w:t>Executive summary</w:t>
      </w:r>
      <w:bookmarkEnd w:id="7"/>
      <w:r w:rsidRPr="00840145">
        <w:t xml:space="preserve"> </w:t>
      </w:r>
    </w:p>
    <w:p w14:paraId="41BA80D7" w14:textId="0A55070B" w:rsidR="00AF243C" w:rsidRDefault="00AF243C" w:rsidP="00AF243C">
      <w:r>
        <w:t xml:space="preserve">ASIC plays a key role in the </w:t>
      </w:r>
      <w:r w:rsidR="00143E78">
        <w:t>Australian</w:t>
      </w:r>
      <w:r>
        <w:t xml:space="preserve"> financial system. It is </w:t>
      </w:r>
      <w:r w:rsidR="00966F4F" w:rsidRPr="00966F4F">
        <w:t>Australia</w:t>
      </w:r>
      <w:r w:rsidR="00EF40B0">
        <w:t>’</w:t>
      </w:r>
      <w:r w:rsidR="00966F4F" w:rsidRPr="00966F4F">
        <w:t xml:space="preserve">s integrated corporate, markets, financial services and consumer credit </w:t>
      </w:r>
      <w:r w:rsidR="000C250C">
        <w:t xml:space="preserve">conduct </w:t>
      </w:r>
      <w:r w:rsidR="00966F4F" w:rsidRPr="00966F4F">
        <w:t>regulator</w:t>
      </w:r>
      <w:r>
        <w:t xml:space="preserve"> and its </w:t>
      </w:r>
      <w:r w:rsidRPr="00123330">
        <w:t>remit</w:t>
      </w:r>
      <w:r w:rsidR="0062055F" w:rsidRPr="00123330">
        <w:t>,</w:t>
      </w:r>
      <w:r w:rsidRPr="00123330">
        <w:t xml:space="preserve"> having grown over time</w:t>
      </w:r>
      <w:r w:rsidR="0062055F" w:rsidRPr="00123330">
        <w:t>,</w:t>
      </w:r>
      <w:r w:rsidRPr="00123330">
        <w:t xml:space="preserve"> is</w:t>
      </w:r>
      <w:r>
        <w:t xml:space="preserve"> now one of the broadest of comparable regulators globally.</w:t>
      </w:r>
      <w:r>
        <w:rPr>
          <w:rStyle w:val="FootnoteReference"/>
        </w:rPr>
        <w:footnoteReference w:id="2"/>
      </w:r>
    </w:p>
    <w:p w14:paraId="2AED8283" w14:textId="6A33200A" w:rsidR="00AF243C" w:rsidRPr="00123330" w:rsidRDefault="00AF243C" w:rsidP="00AF243C">
      <w:r>
        <w:t>ASIC has undergone recent organisational changes, in part driven by several external reviews.</w:t>
      </w:r>
      <w:r>
        <w:rPr>
          <w:rStyle w:val="FootnoteReference"/>
        </w:rPr>
        <w:footnoteReference w:id="3"/>
      </w:r>
      <w:r>
        <w:t xml:space="preserve"> These changes to its governance arrangements include the clearer delineation of executive and non</w:t>
      </w:r>
      <w:r w:rsidR="00EF40B0">
        <w:noBreakHyphen/>
      </w:r>
      <w:r>
        <w:t xml:space="preserve">executive responsibilities between the Commission and senior leaders. In 2021, a </w:t>
      </w:r>
      <w:r w:rsidRPr="00123330">
        <w:t xml:space="preserve">new </w:t>
      </w:r>
      <w:r w:rsidR="0062055F" w:rsidRPr="00123330">
        <w:t>C</w:t>
      </w:r>
      <w:r w:rsidRPr="00123330">
        <w:t>hair, Mr</w:t>
      </w:r>
      <w:r w:rsidR="00380057" w:rsidRPr="00123330">
        <w:t> </w:t>
      </w:r>
      <w:r w:rsidRPr="00123330">
        <w:t>Joseph Longo, and Deputy Chair, Ms Sarah Court, were appointed to ASIC. Chair Longo has publicly stated he wishes ASIC to become an ambitious, confident and digitally enabled regulator.</w:t>
      </w:r>
      <w:r w:rsidRPr="00123330">
        <w:rPr>
          <w:rStyle w:val="FootnoteReference"/>
        </w:rPr>
        <w:footnoteReference w:id="4"/>
      </w:r>
    </w:p>
    <w:p w14:paraId="74B49D39" w14:textId="2E13D523" w:rsidR="00AF243C" w:rsidRDefault="00AF243C" w:rsidP="00AF243C">
      <w:pPr>
        <w:pStyle w:val="PlainText"/>
      </w:pPr>
      <w:r w:rsidRPr="00123330">
        <w:t>It is well recognised that Australia has a world</w:t>
      </w:r>
      <w:r w:rsidR="00EF40B0">
        <w:noBreakHyphen/>
      </w:r>
      <w:r w:rsidRPr="00123330">
        <w:t>leading financial system to which ASIC</w:t>
      </w:r>
      <w:r w:rsidR="00EF40B0">
        <w:t>’</w:t>
      </w:r>
      <w:r w:rsidRPr="00123330">
        <w:t>s contribution is crucial. As the financial landscape transforms, ASIC must increasingly be alert to emerging trends and issues, keep pace with new technologies and products</w:t>
      </w:r>
      <w:r w:rsidR="00CD57A7">
        <w:t>,</w:t>
      </w:r>
      <w:r w:rsidRPr="00123330">
        <w:t xml:space="preserve"> and continue to enhance its effectiveness and capability.</w:t>
      </w:r>
    </w:p>
    <w:p w14:paraId="50009868" w14:textId="77777777" w:rsidR="00AF243C" w:rsidRPr="00896349" w:rsidRDefault="00AF243C" w:rsidP="00AF243C">
      <w:pPr>
        <w:pStyle w:val="Heading2"/>
      </w:pPr>
      <w:bookmarkStart w:id="8" w:name="_Toc110241803"/>
      <w:r>
        <w:t>Recommendations</w:t>
      </w:r>
      <w:bookmarkEnd w:id="8"/>
    </w:p>
    <w:p w14:paraId="41E39BA2" w14:textId="25D87CD1" w:rsidR="00AF243C" w:rsidRDefault="005168F0" w:rsidP="00AF243C">
      <w:pPr>
        <w:pStyle w:val="PlainText"/>
      </w:pPr>
      <w:r>
        <w:t xml:space="preserve">The </w:t>
      </w:r>
      <w:r w:rsidR="00476270" w:rsidRPr="00FE3F48">
        <w:t xml:space="preserve">FRAA </w:t>
      </w:r>
      <w:r w:rsidR="00AF243C">
        <w:t xml:space="preserve">considers that ASIC is generally effective and capable in the areas reviewed, although there are important opportunities to enhance its performance. The FRAA makes the following recommendations which if implemented </w:t>
      </w:r>
      <w:r w:rsidR="008C3BBE">
        <w:t>should</w:t>
      </w:r>
      <w:r w:rsidR="00AF243C">
        <w:t xml:space="preserve"> enhance the </w:t>
      </w:r>
      <w:r w:rsidR="00AF243C" w:rsidRPr="00123330">
        <w:t xml:space="preserve">culture of ASIC </w:t>
      </w:r>
      <w:r w:rsidR="0062055F" w:rsidRPr="00123330">
        <w:t xml:space="preserve">and </w:t>
      </w:r>
      <w:r w:rsidR="00AF243C" w:rsidRPr="00123330">
        <w:t>improve</w:t>
      </w:r>
      <w:r w:rsidR="00AF243C">
        <w:t xml:space="preserve"> its effectiveness and capability. </w:t>
      </w:r>
    </w:p>
    <w:tbl>
      <w:tblPr>
        <w:tblStyle w:val="TableGrid"/>
        <w:tblpPr w:leftFromText="180" w:rightFromText="180" w:vertAnchor="text" w:horzAnchor="margin" w:tblpY="154"/>
        <w:tblW w:w="0" w:type="auto"/>
        <w:shd w:val="clear" w:color="auto" w:fill="EAEAEA" w:themeFill="background2"/>
        <w:tblCellMar>
          <w:top w:w="170" w:type="dxa"/>
          <w:left w:w="170" w:type="dxa"/>
          <w:bottom w:w="170" w:type="dxa"/>
          <w:right w:w="170" w:type="dxa"/>
        </w:tblCellMar>
        <w:tblLook w:val="04A0" w:firstRow="1" w:lastRow="0" w:firstColumn="1" w:lastColumn="0" w:noHBand="0" w:noVBand="1"/>
      </w:tblPr>
      <w:tblGrid>
        <w:gridCol w:w="9016"/>
      </w:tblGrid>
      <w:tr w:rsidR="00AF243C" w14:paraId="6FE27E0F" w14:textId="77777777" w:rsidTr="5AA25B51">
        <w:tc>
          <w:tcPr>
            <w:tcW w:w="9016" w:type="dxa"/>
            <w:shd w:val="clear" w:color="auto" w:fill="EAEAEA" w:themeFill="background2"/>
          </w:tcPr>
          <w:p w14:paraId="53D66520" w14:textId="77777777" w:rsidR="00AF243C" w:rsidRPr="004A147B" w:rsidRDefault="00AF243C" w:rsidP="001B78E4">
            <w:pPr>
              <w:pStyle w:val="BoxHeading"/>
            </w:pPr>
            <w:r w:rsidRPr="004A147B">
              <w:t>Recommendations</w:t>
            </w:r>
          </w:p>
          <w:p w14:paraId="62F25D35" w14:textId="1745F127" w:rsidR="00AF243C" w:rsidRPr="00D27D3B" w:rsidRDefault="00AF243C" w:rsidP="006433C7">
            <w:pPr>
              <w:pStyle w:val="BoxBullet"/>
            </w:pPr>
            <w:bookmarkStart w:id="9" w:name="_Hlk108794937"/>
            <w:r>
              <w:t>ASIC requires a substantial uplift in its data and technology capability, which w</w:t>
            </w:r>
            <w:r w:rsidR="007647A4">
              <w:t xml:space="preserve">ill involve </w:t>
            </w:r>
            <w:r>
              <w:t>cultural change</w:t>
            </w:r>
            <w:r w:rsidR="001A1CBE">
              <w:t xml:space="preserve">. </w:t>
            </w:r>
          </w:p>
          <w:p w14:paraId="06EE9944" w14:textId="77777777" w:rsidR="00AF243C" w:rsidRPr="004A147B" w:rsidRDefault="00AF243C" w:rsidP="006433C7">
            <w:pPr>
              <w:pStyle w:val="BoxBullet"/>
            </w:pPr>
            <w:r w:rsidRPr="004A147B">
              <w:t xml:space="preserve">ASIC should have a stronger focus across the organisation on enhancing the quality of its engagement with stakeholders. </w:t>
            </w:r>
          </w:p>
          <w:p w14:paraId="0A7A8578" w14:textId="5186F37F" w:rsidR="00AF243C" w:rsidRPr="00A1608D" w:rsidRDefault="00A1608D" w:rsidP="00A1608D">
            <w:pPr>
              <w:pStyle w:val="BoxBullet"/>
            </w:pPr>
            <w:r w:rsidRPr="00A1608D">
              <w:t>ASIC should enhance its ability to measure its own effectiveness and capability and communicate the outcomes of such assessment transparently, both internally and externally</w:t>
            </w:r>
            <w:r w:rsidR="00EF40B0">
              <w:t xml:space="preserve">. </w:t>
            </w:r>
          </w:p>
          <w:bookmarkEnd w:id="9"/>
          <w:p w14:paraId="195F162D" w14:textId="77777777" w:rsidR="00AF243C" w:rsidRDefault="00AF243C" w:rsidP="006433C7">
            <w:pPr>
              <w:pStyle w:val="BoxBullet"/>
            </w:pPr>
            <w:r w:rsidRPr="004A147B">
              <w:t>ASIC should continue to broaden its mix of skill sets to ensure it can meet the current and future needs of the organisation.</w:t>
            </w:r>
          </w:p>
        </w:tc>
      </w:tr>
    </w:tbl>
    <w:p w14:paraId="3C4688BA" w14:textId="25B4DD79" w:rsidR="00603361" w:rsidRDefault="00AF243C" w:rsidP="00AF243C">
      <w:r w:rsidRPr="002E77D6">
        <w:t xml:space="preserve">The FRAA expects that the implementation of these recommendations will require a cultural shift in the way that ASIC approaches its work and engages with its regulated population and broader stakeholders. If achieved, ASIC </w:t>
      </w:r>
      <w:r w:rsidRPr="004A6BE0">
        <w:t>at</w:t>
      </w:r>
      <w:r w:rsidRPr="002E77D6">
        <w:t xml:space="preserve"> all levels </w:t>
      </w:r>
      <w:r w:rsidR="003F2439">
        <w:t>should</w:t>
      </w:r>
      <w:r w:rsidRPr="002E77D6">
        <w:t xml:space="preserve"> have the confidence to</w:t>
      </w:r>
      <w:r w:rsidR="00603361">
        <w:t>:</w:t>
      </w:r>
      <w:r w:rsidRPr="002E77D6">
        <w:t xml:space="preserve"> </w:t>
      </w:r>
    </w:p>
    <w:p w14:paraId="5E0A607E" w14:textId="77777777" w:rsidR="005B2205" w:rsidRDefault="00AF243C" w:rsidP="00812515">
      <w:pPr>
        <w:pStyle w:val="Bulletleft"/>
      </w:pPr>
      <w:r w:rsidRPr="00D27D3B">
        <w:t xml:space="preserve">engage </w:t>
      </w:r>
      <w:r w:rsidR="001B767F" w:rsidRPr="00D27D3B">
        <w:t xml:space="preserve">openly </w:t>
      </w:r>
      <w:r w:rsidR="007647A4" w:rsidRPr="00D27D3B">
        <w:t xml:space="preserve">with </w:t>
      </w:r>
      <w:r w:rsidRPr="00D27D3B">
        <w:t>its stakeholders</w:t>
      </w:r>
    </w:p>
    <w:p w14:paraId="62ABE88F" w14:textId="77777777" w:rsidR="00F84FBB" w:rsidRDefault="00AF243C" w:rsidP="00812515">
      <w:pPr>
        <w:pStyle w:val="Bulletleft"/>
      </w:pPr>
      <w:r w:rsidRPr="00D27D3B">
        <w:t xml:space="preserve">communicate with clarity and certainty </w:t>
      </w:r>
    </w:p>
    <w:p w14:paraId="5F0AEAC0" w14:textId="6BEF497F" w:rsidR="00AF243C" w:rsidRPr="002E77D6" w:rsidRDefault="00AF243C" w:rsidP="00812515">
      <w:pPr>
        <w:pStyle w:val="Bulletleft"/>
      </w:pPr>
      <w:r w:rsidRPr="00D27D3B">
        <w:t xml:space="preserve">assess itself </w:t>
      </w:r>
      <w:r w:rsidR="00F94B64" w:rsidRPr="00D27D3B">
        <w:t xml:space="preserve">continually </w:t>
      </w:r>
      <w:r w:rsidR="007555F1">
        <w:t xml:space="preserve">and identify </w:t>
      </w:r>
      <w:r w:rsidRPr="00D27D3B">
        <w:t xml:space="preserve">opportunities for improvement, without compromising its role </w:t>
      </w:r>
      <w:r w:rsidR="007647A4" w:rsidRPr="00D27D3B">
        <w:t>to apply and enforce the law</w:t>
      </w:r>
      <w:r w:rsidRPr="00D27D3B">
        <w:t>.</w:t>
      </w:r>
      <w:r w:rsidRPr="002E77D6">
        <w:t xml:space="preserve"> </w:t>
      </w:r>
    </w:p>
    <w:p w14:paraId="40DCB7C5" w14:textId="5AF5E6D4" w:rsidR="00AF243C" w:rsidRDefault="00AF243C" w:rsidP="00AF243C">
      <w:r w:rsidRPr="004A6BE0">
        <w:lastRenderedPageBreak/>
        <w:t>Such a</w:t>
      </w:r>
      <w:r w:rsidRPr="00E13361">
        <w:t xml:space="preserve"> cultural shift</w:t>
      </w:r>
      <w:r>
        <w:t xml:space="preserve"> </w:t>
      </w:r>
      <w:r w:rsidR="00A8224A">
        <w:t>should</w:t>
      </w:r>
      <w:r>
        <w:t xml:space="preserve"> increase the confidence of </w:t>
      </w:r>
      <w:r w:rsidR="00832CBD">
        <w:t>g</w:t>
      </w:r>
      <w:r>
        <w:t>overnment</w:t>
      </w:r>
      <w:r w:rsidR="005F1807">
        <w:t xml:space="preserve">, and indeed all stakeholders, </w:t>
      </w:r>
      <w:r>
        <w:t>in ASIC</w:t>
      </w:r>
      <w:r w:rsidR="00EF40B0">
        <w:t>’</w:t>
      </w:r>
      <w:r>
        <w:t xml:space="preserve">s </w:t>
      </w:r>
      <w:r w:rsidR="009B4A4D">
        <w:t xml:space="preserve">effectiveness and </w:t>
      </w:r>
      <w:r>
        <w:t>capability.</w:t>
      </w:r>
    </w:p>
    <w:p w14:paraId="6E82C93F" w14:textId="77777777" w:rsidR="00AF243C" w:rsidRPr="00184690" w:rsidRDefault="00AF243C" w:rsidP="00184690">
      <w:pPr>
        <w:pStyle w:val="Heading2"/>
      </w:pPr>
      <w:bookmarkStart w:id="10" w:name="_Toc110241804"/>
      <w:r w:rsidRPr="00184690">
        <w:t>Inaugural review of ASIC</w:t>
      </w:r>
      <w:bookmarkEnd w:id="10"/>
    </w:p>
    <w:p w14:paraId="1CF870D7" w14:textId="2C0104D9" w:rsidR="004E7272" w:rsidRPr="00063306" w:rsidRDefault="2A396048" w:rsidP="004E7272">
      <w:r w:rsidDel="00590C90">
        <w:t>The FRAA has assessed ASIC</w:t>
      </w:r>
      <w:r w:rsidR="00EF40B0">
        <w:t>’</w:t>
      </w:r>
      <w:r w:rsidDel="00590C90">
        <w:t xml:space="preserve">s effectiveness and capability in </w:t>
      </w:r>
      <w:r w:rsidR="00AF243C" w:rsidDel="2A396048">
        <w:t>3</w:t>
      </w:r>
      <w:r w:rsidDel="00590C90">
        <w:t xml:space="preserve"> areas: strategic prioritisation, planning and decision</w:t>
      </w:r>
      <w:r w:rsidR="00EF40B0">
        <w:noBreakHyphen/>
      </w:r>
      <w:r w:rsidDel="00590C90">
        <w:t xml:space="preserve">making, surveillance and licensing. </w:t>
      </w:r>
      <w:r w:rsidR="30578155">
        <w:t xml:space="preserve">The FRAA has used a qualitative framework to conduct </w:t>
      </w:r>
      <w:r w:rsidR="30578155" w:rsidRPr="00202380">
        <w:t>its assessment and has gathered evidence from a range of sources</w:t>
      </w:r>
      <w:r w:rsidR="30578155" w:rsidRPr="00063306">
        <w:t>. These included:</w:t>
      </w:r>
    </w:p>
    <w:p w14:paraId="020D9897" w14:textId="77777777" w:rsidR="004E7272" w:rsidRPr="00C733A7" w:rsidRDefault="004E7272" w:rsidP="00812515">
      <w:pPr>
        <w:pStyle w:val="Bulletleft"/>
        <w:rPr>
          <w:rStyle w:val="normaltextrun"/>
        </w:rPr>
      </w:pPr>
      <w:r w:rsidRPr="00063306">
        <w:rPr>
          <w:rStyle w:val="normaltextrun"/>
          <w:rFonts w:cs="Calibri"/>
          <w:color w:val="000000"/>
          <w:szCs w:val="22"/>
          <w:shd w:val="clear" w:color="auto" w:fill="FFFFFF"/>
        </w:rPr>
        <w:t>public consultation</w:t>
      </w:r>
    </w:p>
    <w:p w14:paraId="5EA379F9" w14:textId="77777777" w:rsidR="004E7272" w:rsidRPr="00C733A7" w:rsidRDefault="004E7272" w:rsidP="00812515">
      <w:pPr>
        <w:pStyle w:val="Bulletleft"/>
        <w:rPr>
          <w:rStyle w:val="normaltextrun"/>
        </w:rPr>
      </w:pPr>
      <w:r w:rsidRPr="00C733A7">
        <w:rPr>
          <w:rStyle w:val="normaltextrun"/>
          <w:rFonts w:cs="Calibri"/>
          <w:color w:val="000000"/>
          <w:szCs w:val="22"/>
          <w:shd w:val="clear" w:color="auto" w:fill="FFFFFF"/>
        </w:rPr>
        <w:t>meetings with industry and consumer advocacy bodies, academics, peer regulators and ASIC senior leaders</w:t>
      </w:r>
    </w:p>
    <w:p w14:paraId="2A6F5712" w14:textId="06E5A5F5" w:rsidR="00AF243C" w:rsidRDefault="004E7272" w:rsidP="00812515">
      <w:pPr>
        <w:pStyle w:val="Bulletleft"/>
      </w:pPr>
      <w:r w:rsidRPr="00202380">
        <w:rPr>
          <w:rStyle w:val="normaltextrun"/>
          <w:rFonts w:cs="Calibri"/>
          <w:color w:val="000000"/>
          <w:szCs w:val="22"/>
          <w:shd w:val="clear" w:color="auto" w:fill="FFFFFF"/>
        </w:rPr>
        <w:t>surveys of ASIC staff and stakeholders</w:t>
      </w:r>
      <w:r w:rsidR="00EF40B0">
        <w:rPr>
          <w:rStyle w:val="normaltextrun"/>
          <w:rFonts w:cs="Calibri"/>
          <w:color w:val="000000"/>
          <w:szCs w:val="22"/>
          <w:shd w:val="clear" w:color="auto" w:fill="FFFFFF"/>
        </w:rPr>
        <w:t xml:space="preserve">. </w:t>
      </w:r>
    </w:p>
    <w:p w14:paraId="0C6C17A6" w14:textId="08C10A72" w:rsidR="00AF243C" w:rsidRPr="00A4543C" w:rsidRDefault="00AF243C" w:rsidP="00AF243C">
      <w:r>
        <w:t xml:space="preserve">As set out below, the FRAA considers that ASIC is generally effective and capable in the areas of this review, with several opportunities to improve its performance. During this review ASIC initiated several projects in areas </w:t>
      </w:r>
      <w:r w:rsidR="00B603CC">
        <w:t xml:space="preserve">identified by </w:t>
      </w:r>
      <w:r>
        <w:t>the FRAA. </w:t>
      </w:r>
    </w:p>
    <w:p w14:paraId="29D3E112" w14:textId="11245C2B" w:rsidR="00AF243C" w:rsidRDefault="2A396048" w:rsidP="00AF243C">
      <w:pPr>
        <w:spacing w:line="259" w:lineRule="auto"/>
      </w:pPr>
      <w:r w:rsidRPr="00A4543C">
        <w:t>ASIC</w:t>
      </w:r>
      <w:r w:rsidR="00EF40B0">
        <w:t>’</w:t>
      </w:r>
      <w:r w:rsidRPr="00A4543C">
        <w:t>s strategic prioritisation, planning and decision</w:t>
      </w:r>
      <w:r w:rsidR="00EF40B0">
        <w:noBreakHyphen/>
      </w:r>
      <w:r w:rsidRPr="00A4543C">
        <w:t xml:space="preserve">making processes </w:t>
      </w:r>
      <w:r w:rsidRPr="008A60C6">
        <w:t xml:space="preserve">are generally </w:t>
      </w:r>
      <w:r w:rsidRPr="00A4543C">
        <w:t>effective</w:t>
      </w:r>
      <w:r w:rsidRPr="008A60C6">
        <w:t xml:space="preserve"> in</w:t>
      </w:r>
      <w:r w:rsidRPr="00A4543C">
        <w:t xml:space="preserve"> support</w:t>
      </w:r>
      <w:r w:rsidRPr="008A60C6">
        <w:t>ing</w:t>
      </w:r>
      <w:r w:rsidRPr="00A4543C">
        <w:t xml:space="preserve"> ASIC</w:t>
      </w:r>
      <w:r w:rsidR="00EF40B0">
        <w:t>’</w:t>
      </w:r>
      <w:r w:rsidRPr="00A4543C">
        <w:t>s operations. ASIC</w:t>
      </w:r>
      <w:r w:rsidR="00EF40B0">
        <w:t>’</w:t>
      </w:r>
      <w:r w:rsidRPr="00A4543C">
        <w:t>s</w:t>
      </w:r>
      <w:r w:rsidRPr="008A60C6">
        <w:t xml:space="preserve"> current</w:t>
      </w:r>
      <w:r w:rsidRPr="00A4543C">
        <w:t xml:space="preserve"> publications are generally well regarded</w:t>
      </w:r>
      <w:r w:rsidRPr="008A60C6">
        <w:t xml:space="preserve"> and serve to communicate ASIC</w:t>
      </w:r>
      <w:r w:rsidR="00EF40B0">
        <w:t>’</w:t>
      </w:r>
      <w:r w:rsidRPr="008A60C6">
        <w:t>s strategic priorities</w:t>
      </w:r>
      <w:r w:rsidRPr="00A4543C">
        <w:t>. ASIC is working on initiatives to improve its</w:t>
      </w:r>
      <w:r w:rsidRPr="008A60C6">
        <w:t xml:space="preserve"> strategic planning process which will enhance its long</w:t>
      </w:r>
      <w:r w:rsidR="00EF40B0">
        <w:noBreakHyphen/>
      </w:r>
      <w:r w:rsidRPr="008A60C6">
        <w:t>term capability and resourcing needs</w:t>
      </w:r>
      <w:r w:rsidRPr="00A4543C">
        <w:t xml:space="preserve">. However, ASIC needs to </w:t>
      </w:r>
      <w:r w:rsidRPr="008A60C6">
        <w:t xml:space="preserve">identify and </w:t>
      </w:r>
      <w:r w:rsidRPr="00A4543C">
        <w:t>clearly communicate its critical priorities as well as target, measur</w:t>
      </w:r>
      <w:r w:rsidRPr="008A60C6">
        <w:t>e</w:t>
      </w:r>
      <w:r w:rsidRPr="00A4543C">
        <w:t xml:space="preserve"> and report outcomes to stakeholders.</w:t>
      </w:r>
      <w:r w:rsidR="008A368F">
        <w:t xml:space="preserve"> The FRAA understands that ASIC is taking steps towards this in its </w:t>
      </w:r>
      <w:r w:rsidR="00EF40B0">
        <w:br/>
      </w:r>
      <w:r w:rsidR="008A368F">
        <w:t>2022</w:t>
      </w:r>
      <w:r w:rsidR="00EF40B0">
        <w:t>–</w:t>
      </w:r>
      <w:r w:rsidR="008A368F">
        <w:t>26</w:t>
      </w:r>
      <w:r w:rsidR="00EF40B0">
        <w:t> </w:t>
      </w:r>
      <w:r w:rsidR="008A368F">
        <w:t>planning cycle. </w:t>
      </w:r>
    </w:p>
    <w:p w14:paraId="406E37FF" w14:textId="3B31AFCA" w:rsidR="00AF243C" w:rsidRPr="00C06DBA" w:rsidRDefault="00AF243C" w:rsidP="00AF243C">
      <w:pPr>
        <w:spacing w:line="259" w:lineRule="auto"/>
      </w:pPr>
      <w:r w:rsidRPr="5AA25B51">
        <w:t>ASIC</w:t>
      </w:r>
      <w:r w:rsidR="00EF40B0">
        <w:rPr>
          <w:szCs w:val="22"/>
        </w:rPr>
        <w:t>’</w:t>
      </w:r>
      <w:r w:rsidRPr="5AA25B51">
        <w:t>s risk</w:t>
      </w:r>
      <w:r w:rsidR="00EF40B0">
        <w:noBreakHyphen/>
      </w:r>
      <w:r w:rsidRPr="5AA25B51">
        <w:t>based approach to surveillances, as well as the types of surveillances</w:t>
      </w:r>
      <w:r w:rsidRPr="00C06DBA">
        <w:rPr>
          <w:szCs w:val="22"/>
        </w:rPr>
        <w:t xml:space="preserve"> </w:t>
      </w:r>
      <w:r w:rsidRPr="5AA25B51">
        <w:t>used</w:t>
      </w:r>
      <w:r w:rsidRPr="00F94224">
        <w:rPr>
          <w:szCs w:val="22"/>
        </w:rPr>
        <w:t xml:space="preserve">, </w:t>
      </w:r>
      <w:r w:rsidRPr="5AA25B51">
        <w:t>generally enable it to appropriately</w:t>
      </w:r>
      <w:r w:rsidRPr="00C06DBA">
        <w:rPr>
          <w:szCs w:val="22"/>
        </w:rPr>
        <w:t xml:space="preserve"> </w:t>
      </w:r>
      <w:r w:rsidRPr="5AA25B51">
        <w:t>target and design its activities</w:t>
      </w:r>
      <w:r w:rsidRPr="002F0DBE">
        <w:t xml:space="preserve">. </w:t>
      </w:r>
      <w:r w:rsidRPr="00C06DBA">
        <w:t xml:space="preserve">However, </w:t>
      </w:r>
      <w:r w:rsidRPr="004D536B">
        <w:t xml:space="preserve">there </w:t>
      </w:r>
      <w:r w:rsidRPr="008A60C6">
        <w:t>remain</w:t>
      </w:r>
      <w:r w:rsidRPr="00C06DBA">
        <w:t xml:space="preserve"> opportunities for ASIC</w:t>
      </w:r>
      <w:r w:rsidRPr="008A60C6">
        <w:t xml:space="preserve"> to increase the effectiveness of its surveillance function, including through</w:t>
      </w:r>
      <w:r w:rsidRPr="00C06DBA">
        <w:t xml:space="preserve"> </w:t>
      </w:r>
      <w:r w:rsidR="00362B42">
        <w:t xml:space="preserve">the </w:t>
      </w:r>
      <w:r w:rsidRPr="008A60C6">
        <w:t xml:space="preserve">improved use of data analytics and better engagement with </w:t>
      </w:r>
      <w:r w:rsidR="00362B42">
        <w:t>its</w:t>
      </w:r>
      <w:r w:rsidR="00362B42" w:rsidRPr="008A60C6">
        <w:t xml:space="preserve"> </w:t>
      </w:r>
      <w:r w:rsidRPr="008A60C6">
        <w:t xml:space="preserve">regulated population. A broader uplift </w:t>
      </w:r>
      <w:r w:rsidR="00BD6BF5">
        <w:t>in</w:t>
      </w:r>
      <w:r w:rsidRPr="008A60C6">
        <w:t xml:space="preserve"> surveillance </w:t>
      </w:r>
      <w:r>
        <w:t xml:space="preserve">systems and </w:t>
      </w:r>
      <w:r w:rsidRPr="008A60C6">
        <w:t xml:space="preserve">analytical capabilities will help drive such an improvement. </w:t>
      </w:r>
      <w:r w:rsidRPr="00F94224">
        <w:t>ASIC is undertaking work to improve the measurement of the impact of its surveillance activities, and these outcomes should be clearly communicated to stakeholders</w:t>
      </w:r>
      <w:r w:rsidRPr="00C06DBA">
        <w:t>.</w:t>
      </w:r>
      <w:r w:rsidRPr="002F0DBE">
        <w:t xml:space="preserve"> </w:t>
      </w:r>
    </w:p>
    <w:p w14:paraId="5F66FDEA" w14:textId="16086EFD" w:rsidR="00AF243C" w:rsidRDefault="00AF243C" w:rsidP="00AF243C">
      <w:pPr>
        <w:spacing w:line="259" w:lineRule="auto"/>
      </w:pPr>
      <w:r>
        <w:t>ASIC</w:t>
      </w:r>
      <w:r w:rsidR="00EF40B0">
        <w:t>’</w:t>
      </w:r>
      <w:r>
        <w:t xml:space="preserve">s licensing function is broadly effective, although somewhat constrained by limited resourcing and technology. ASIC undertakes robust licensing </w:t>
      </w:r>
      <w:r w:rsidR="001A0C83">
        <w:t>assessments</w:t>
      </w:r>
      <w:r>
        <w:t xml:space="preserve"> but could improve the timeliness of licensing decisions with more resourcing and better data and systems. ASIC should place </w:t>
      </w:r>
      <w:r w:rsidR="00362B42">
        <w:t>greater</w:t>
      </w:r>
      <w:r>
        <w:t xml:space="preserve"> emphasis on the experience of licence applicants and consider the benefits of its licensing staff </w:t>
      </w:r>
      <w:r w:rsidR="00B23D89">
        <w:t xml:space="preserve">members </w:t>
      </w:r>
      <w:r>
        <w:t xml:space="preserve">engaging in more </w:t>
      </w:r>
      <w:r w:rsidR="00EC4ADD">
        <w:t>direct</w:t>
      </w:r>
      <w:r>
        <w:t xml:space="preserve"> communications with applicants. There is opportunity for ASIC to measure the quality of its licensing decisions. </w:t>
      </w:r>
    </w:p>
    <w:p w14:paraId="0D27D067" w14:textId="0D01F80C" w:rsidR="00AF243C" w:rsidRPr="00184690" w:rsidRDefault="00052BB5" w:rsidP="00184690">
      <w:pPr>
        <w:pStyle w:val="Heading2"/>
      </w:pPr>
      <w:bookmarkStart w:id="11" w:name="_Toc110241805"/>
      <w:r>
        <w:t>T</w:t>
      </w:r>
      <w:r w:rsidR="00AF243C" w:rsidRPr="00184690">
        <w:t>hemes</w:t>
      </w:r>
      <w:bookmarkEnd w:id="11"/>
    </w:p>
    <w:p w14:paraId="4B72C374" w14:textId="248FBF27" w:rsidR="00AF243C" w:rsidRDefault="2A396048" w:rsidP="00AF243C">
      <w:r>
        <w:t>In conducting this review, common themes emerged that came to form the basis of the FRAA</w:t>
      </w:r>
      <w:r w:rsidR="00EF40B0">
        <w:t>’</w:t>
      </w:r>
      <w:r>
        <w:t>s recommendations. These themes relate to ASIC</w:t>
      </w:r>
      <w:r w:rsidR="00EF40B0">
        <w:t>’</w:t>
      </w:r>
      <w:r>
        <w:t>s data and technology capability, the nature of its relationships particularly with external stakeholders, the need for it to assess the outcomes of its activities and the skill sets of its people to support these areas.</w:t>
      </w:r>
    </w:p>
    <w:p w14:paraId="0CC11049" w14:textId="17AC1DAE" w:rsidR="00AF243C" w:rsidRPr="00C37460" w:rsidRDefault="00AF243C" w:rsidP="006433C7">
      <w:pPr>
        <w:pStyle w:val="Heading3"/>
      </w:pPr>
      <w:bookmarkStart w:id="12" w:name="_Toc108786402"/>
      <w:r w:rsidRPr="00C37460">
        <w:lastRenderedPageBreak/>
        <w:t xml:space="preserve">Data and </w:t>
      </w:r>
      <w:r w:rsidRPr="006433C7">
        <w:t>technology</w:t>
      </w:r>
      <w:bookmarkEnd w:id="12"/>
      <w:r w:rsidR="00370327">
        <w:t xml:space="preserve"> capability</w:t>
      </w:r>
    </w:p>
    <w:p w14:paraId="64E0622F" w14:textId="163DE603" w:rsidR="00420768" w:rsidRDefault="007C044B" w:rsidP="006433C7">
      <w:r>
        <w:t xml:space="preserve">Improved </w:t>
      </w:r>
      <w:r w:rsidRPr="00E8290C">
        <w:t xml:space="preserve">data, analytics and technology capabilities would support </w:t>
      </w:r>
      <w:r w:rsidRPr="00B86018">
        <w:t xml:space="preserve">ASIC to </w:t>
      </w:r>
      <w:r w:rsidRPr="00E8290C">
        <w:t xml:space="preserve">better </w:t>
      </w:r>
      <w:r>
        <w:t>identify and act on emerging harms, set</w:t>
      </w:r>
      <w:r w:rsidRPr="00B86018">
        <w:t xml:space="preserve"> strategic priorities, create efficiencies</w:t>
      </w:r>
      <w:r>
        <w:t>,</w:t>
      </w:r>
      <w:r w:rsidRPr="00B86018">
        <w:t xml:space="preserve"> lower the regulatory burden, and deliver a digital stakeholder experience</w:t>
      </w:r>
      <w:r>
        <w:t xml:space="preserve">. </w:t>
      </w:r>
      <w:r w:rsidR="00AF243C" w:rsidRPr="008A60C6">
        <w:t>There are a range of opportunities for ASIC to enhance its effectiveness through improved technology capability and the better use of data</w:t>
      </w:r>
      <w:r w:rsidR="00B26EBC">
        <w:t xml:space="preserve">, particularly in its Financial Services and Wealth </w:t>
      </w:r>
      <w:r w:rsidR="00FF3AFD">
        <w:t>G</w:t>
      </w:r>
      <w:r w:rsidR="00B26EBC">
        <w:t>roup</w:t>
      </w:r>
      <w:r w:rsidR="00B26EBC" w:rsidRPr="000C56C6">
        <w:t>.</w:t>
      </w:r>
      <w:r w:rsidR="00AF243C" w:rsidRPr="008A60C6">
        <w:t> ASIC recognises this</w:t>
      </w:r>
      <w:r w:rsidR="00FF5E33">
        <w:t xml:space="preserve"> and</w:t>
      </w:r>
      <w:r w:rsidR="00AF243C" w:rsidRPr="008A60C6">
        <w:t xml:space="preserve"> </w:t>
      </w:r>
      <w:r w:rsidR="00805F5B">
        <w:t xml:space="preserve">has </w:t>
      </w:r>
      <w:r w:rsidR="00AF243C" w:rsidRPr="008A60C6">
        <w:t>develop</w:t>
      </w:r>
      <w:r w:rsidR="00805F5B">
        <w:t xml:space="preserve">ed </w:t>
      </w:r>
      <w:r w:rsidR="00AF243C" w:rsidRPr="008A60C6">
        <w:t>a digital strategy</w:t>
      </w:r>
      <w:r w:rsidR="00D57BDD">
        <w:t xml:space="preserve"> (</w:t>
      </w:r>
      <w:r w:rsidR="007D33CD">
        <w:t>due to launch in August 2022</w:t>
      </w:r>
      <w:r w:rsidR="00D57BDD">
        <w:t>)</w:t>
      </w:r>
      <w:r w:rsidR="00AF243C" w:rsidRPr="008A60C6">
        <w:t xml:space="preserve"> to</w:t>
      </w:r>
      <w:r w:rsidR="00420768">
        <w:t>:</w:t>
      </w:r>
      <w:r w:rsidR="00AF243C" w:rsidRPr="008A60C6">
        <w:t xml:space="preserve"> </w:t>
      </w:r>
    </w:p>
    <w:p w14:paraId="365BCAF3" w14:textId="77777777" w:rsidR="0042740D" w:rsidRDefault="00AF243C" w:rsidP="00812515">
      <w:pPr>
        <w:pStyle w:val="Bulletleft"/>
      </w:pPr>
      <w:r w:rsidRPr="008A60C6">
        <w:t xml:space="preserve">expand its use of </w:t>
      </w:r>
      <w:r w:rsidRPr="006433C7">
        <w:t>technology</w:t>
      </w:r>
      <w:r w:rsidRPr="008A60C6">
        <w:t xml:space="preserve"> to support more efficient regulatory processes</w:t>
      </w:r>
    </w:p>
    <w:p w14:paraId="113AE278" w14:textId="1360FCBD" w:rsidR="00D35F88" w:rsidRDefault="00AF243C" w:rsidP="00812515">
      <w:pPr>
        <w:pStyle w:val="Bulletleft"/>
      </w:pPr>
      <w:r w:rsidRPr="008A60C6">
        <w:t>improve its use of data analytic</w:t>
      </w:r>
      <w:r w:rsidR="00346E8D">
        <w:t>s</w:t>
      </w:r>
      <w:r w:rsidRPr="008A60C6">
        <w:t xml:space="preserve"> tools to better identify harms and regulatory priorities</w:t>
      </w:r>
    </w:p>
    <w:p w14:paraId="659A7D82" w14:textId="39F71E32" w:rsidR="00AF243C" w:rsidRDefault="00AF243C" w:rsidP="00812515">
      <w:pPr>
        <w:pStyle w:val="Bulletleft"/>
      </w:pPr>
      <w:r w:rsidRPr="008A60C6">
        <w:t>improve the way it interacts with its regulated population.</w:t>
      </w:r>
    </w:p>
    <w:p w14:paraId="5EEC6B34" w14:textId="5CCE653A" w:rsidR="00AF243C" w:rsidRPr="003F31D4" w:rsidRDefault="00AF243C" w:rsidP="006433C7">
      <w:r>
        <w:t>It is the FRAA</w:t>
      </w:r>
      <w:r w:rsidR="00EF40B0">
        <w:t>’</w:t>
      </w:r>
      <w:r>
        <w:t>s view that ASIC requires a substantial uplift in its data and technology capability and will need to undergo material cultural change to embed the benefit from the required investment. The Commission and ASIC</w:t>
      </w:r>
      <w:r w:rsidR="00EF40B0">
        <w:t>’</w:t>
      </w:r>
      <w:r>
        <w:t xml:space="preserve">s senior leaders will need to lead this cultural shift to </w:t>
      </w:r>
      <w:r w:rsidR="00D37D29">
        <w:t xml:space="preserve">realise the benefits of its planned digital uplift. </w:t>
      </w:r>
    </w:p>
    <w:p w14:paraId="2ED98155" w14:textId="77777777" w:rsidR="00AF243C" w:rsidRPr="00097D25" w:rsidRDefault="00AF243C" w:rsidP="00781907">
      <w:pPr>
        <w:pStyle w:val="Heading3"/>
      </w:pPr>
      <w:bookmarkStart w:id="13" w:name="_Toc108786403"/>
      <w:r>
        <w:t xml:space="preserve">Quality of engagement with </w:t>
      </w:r>
      <w:r w:rsidRPr="00097D25">
        <w:t>stakeholders</w:t>
      </w:r>
      <w:bookmarkEnd w:id="13"/>
    </w:p>
    <w:p w14:paraId="291F5056" w14:textId="419E02F8" w:rsidR="00FB5E9A" w:rsidRDefault="006D52DC" w:rsidP="00FB5E9A">
      <w:pPr>
        <w:pStyle w:val="Tabletext"/>
        <w:ind w:left="0" w:firstLine="0"/>
        <w:rPr>
          <w:rFonts w:ascii="Calibri" w:eastAsia="Times New Roman" w:hAnsi="Calibri" w:cs="Times New Roman"/>
          <w:sz w:val="22"/>
          <w:lang w:eastAsia="en-AU"/>
        </w:rPr>
      </w:pPr>
      <w:r w:rsidRPr="006D52DC">
        <w:rPr>
          <w:sz w:val="22"/>
        </w:rPr>
        <w:t xml:space="preserve">ASIC must maintain clear independence from the community it regulates and resist regulatory capture. Improving stakeholder engagement </w:t>
      </w:r>
      <w:r w:rsidR="0040601E">
        <w:rPr>
          <w:sz w:val="22"/>
        </w:rPr>
        <w:t>in a thoughtful and considered way need</w:t>
      </w:r>
      <w:r w:rsidRPr="006D52DC">
        <w:rPr>
          <w:sz w:val="22"/>
        </w:rPr>
        <w:t xml:space="preserve"> not compromise this imperative. </w:t>
      </w:r>
      <w:r w:rsidR="00FB5E9A">
        <w:rPr>
          <w:sz w:val="22"/>
        </w:rPr>
        <w:t xml:space="preserve">To </w:t>
      </w:r>
      <w:r w:rsidR="00FB5E9A" w:rsidRPr="366BFA5D">
        <w:rPr>
          <w:rFonts w:ascii="Calibri" w:eastAsia="Times New Roman" w:hAnsi="Calibri" w:cs="Times New Roman"/>
          <w:sz w:val="22"/>
          <w:lang w:eastAsia="en-AU"/>
        </w:rPr>
        <w:t>deliver its objectives</w:t>
      </w:r>
      <w:r w:rsidR="00FB5E9A">
        <w:rPr>
          <w:rFonts w:ascii="Calibri" w:eastAsia="Times New Roman" w:hAnsi="Calibri" w:cs="Times New Roman"/>
          <w:sz w:val="22"/>
          <w:lang w:eastAsia="en-AU"/>
        </w:rPr>
        <w:t xml:space="preserve"> </w:t>
      </w:r>
      <w:r w:rsidR="00FB5E9A" w:rsidRPr="366BFA5D">
        <w:rPr>
          <w:rFonts w:ascii="Calibri" w:eastAsia="Times New Roman" w:hAnsi="Calibri" w:cs="Times New Roman"/>
          <w:sz w:val="22"/>
          <w:lang w:eastAsia="en-AU"/>
        </w:rPr>
        <w:t xml:space="preserve">ASIC </w:t>
      </w:r>
      <w:r w:rsidR="00FB5E9A">
        <w:rPr>
          <w:rFonts w:ascii="Calibri" w:eastAsia="Times New Roman" w:hAnsi="Calibri" w:cs="Times New Roman"/>
          <w:sz w:val="22"/>
          <w:lang w:eastAsia="en-AU"/>
        </w:rPr>
        <w:t>should</w:t>
      </w:r>
      <w:r w:rsidR="00F37F99">
        <w:rPr>
          <w:rFonts w:ascii="Calibri" w:eastAsia="Times New Roman" w:hAnsi="Calibri" w:cs="Times New Roman"/>
          <w:sz w:val="22"/>
          <w:lang w:eastAsia="en-AU"/>
        </w:rPr>
        <w:t xml:space="preserve"> </w:t>
      </w:r>
      <w:r w:rsidR="00FB5E9A">
        <w:rPr>
          <w:rFonts w:ascii="Calibri" w:eastAsia="Times New Roman" w:hAnsi="Calibri" w:cs="Times New Roman"/>
          <w:sz w:val="22"/>
          <w:lang w:eastAsia="en-AU"/>
        </w:rPr>
        <w:t>h</w:t>
      </w:r>
      <w:r w:rsidR="00FB5E9A" w:rsidRPr="366BFA5D">
        <w:rPr>
          <w:rFonts w:ascii="Calibri" w:eastAsia="Times New Roman" w:hAnsi="Calibri" w:cs="Times New Roman"/>
          <w:sz w:val="22"/>
          <w:lang w:eastAsia="en-AU"/>
        </w:rPr>
        <w:t>ave a strong, trusted and</w:t>
      </w:r>
      <w:r w:rsidR="00DE37A6">
        <w:rPr>
          <w:rFonts w:ascii="Calibri" w:eastAsia="Times New Roman" w:hAnsi="Calibri" w:cs="Times New Roman"/>
          <w:sz w:val="22"/>
          <w:lang w:eastAsia="en-AU"/>
        </w:rPr>
        <w:t>,</w:t>
      </w:r>
      <w:r w:rsidR="00FB5E9A" w:rsidRPr="366BFA5D">
        <w:rPr>
          <w:rFonts w:ascii="Calibri" w:eastAsia="Times New Roman" w:hAnsi="Calibri" w:cs="Times New Roman"/>
          <w:sz w:val="22"/>
          <w:lang w:eastAsia="en-AU"/>
        </w:rPr>
        <w:t xml:space="preserve"> where appropriate, open and collaborative relationship with its stakeholders. </w:t>
      </w:r>
      <w:r w:rsidR="00FB5E9A">
        <w:rPr>
          <w:rFonts w:ascii="Calibri" w:eastAsia="Times New Roman" w:hAnsi="Calibri" w:cs="Times New Roman"/>
          <w:sz w:val="22"/>
          <w:lang w:eastAsia="en-AU"/>
        </w:rPr>
        <w:t xml:space="preserve">This is </w:t>
      </w:r>
      <w:r w:rsidR="00FB5E9A" w:rsidRPr="00B66284">
        <w:rPr>
          <w:rFonts w:ascii="Calibri" w:eastAsia="Times New Roman" w:hAnsi="Calibri" w:cs="Times New Roman"/>
          <w:sz w:val="22"/>
          <w:lang w:eastAsia="en-AU"/>
        </w:rPr>
        <w:t>necessary to support ASIC</w:t>
      </w:r>
      <w:r w:rsidR="00EF40B0">
        <w:rPr>
          <w:rFonts w:ascii="Calibri" w:eastAsia="Times New Roman" w:hAnsi="Calibri" w:cs="Times New Roman"/>
          <w:sz w:val="22"/>
          <w:lang w:eastAsia="en-AU"/>
        </w:rPr>
        <w:t>’</w:t>
      </w:r>
      <w:r w:rsidR="00FB5E9A" w:rsidRPr="00B66284">
        <w:rPr>
          <w:rFonts w:ascii="Calibri" w:eastAsia="Times New Roman" w:hAnsi="Calibri" w:cs="Times New Roman"/>
          <w:sz w:val="22"/>
          <w:lang w:eastAsia="en-AU"/>
        </w:rPr>
        <w:t>s effectiveness and provide it with intelligence that would enable it to act earlier to minimise harm</w:t>
      </w:r>
      <w:r w:rsidR="00EF40B0">
        <w:rPr>
          <w:rFonts w:ascii="Calibri" w:eastAsia="Times New Roman" w:hAnsi="Calibri" w:cs="Times New Roman"/>
          <w:sz w:val="22"/>
          <w:lang w:eastAsia="en-AU"/>
        </w:rPr>
        <w:t xml:space="preserve">. </w:t>
      </w:r>
    </w:p>
    <w:p w14:paraId="5B95CD32" w14:textId="486CC183" w:rsidR="00AF243C" w:rsidRPr="001334A6" w:rsidRDefault="00AF243C" w:rsidP="006433C7">
      <w:r w:rsidRPr="006433C7">
        <w:t>ASIC</w:t>
      </w:r>
      <w:r w:rsidRPr="00676EE9">
        <w:t xml:space="preserve"> has identified the need to improve</w:t>
      </w:r>
      <w:r>
        <w:t xml:space="preserve"> </w:t>
      </w:r>
      <w:r w:rsidRPr="00676EE9">
        <w:t>its stakeholder engagement</w:t>
      </w:r>
      <w:r>
        <w:t xml:space="preserve">. It has started to communicate its priorities </w:t>
      </w:r>
      <w:r w:rsidR="00862D8A">
        <w:t xml:space="preserve">more clearly, </w:t>
      </w:r>
      <w:r>
        <w:t xml:space="preserve">and use innovative </w:t>
      </w:r>
      <w:r w:rsidRPr="001334A6">
        <w:t>channels</w:t>
      </w:r>
      <w:r>
        <w:t xml:space="preserve"> to</w:t>
      </w:r>
      <w:r w:rsidRPr="001334A6">
        <w:t xml:space="preserve"> communicate emerging harms.</w:t>
      </w:r>
      <w:r>
        <w:t xml:space="preserve"> It has also indicated it </w:t>
      </w:r>
      <w:r w:rsidRPr="00676EE9">
        <w:t>will review its</w:t>
      </w:r>
      <w:r>
        <w:t xml:space="preserve"> approach to external </w:t>
      </w:r>
      <w:r w:rsidRPr="00676EE9">
        <w:t>engagement</w:t>
      </w:r>
      <w:r>
        <w:t>.</w:t>
      </w:r>
    </w:p>
    <w:p w14:paraId="1CEDDFC4" w14:textId="4CDB5EC7" w:rsidR="00AF243C" w:rsidRPr="005531F6" w:rsidRDefault="00AF243C" w:rsidP="006433C7">
      <w:r>
        <w:t xml:space="preserve">The FRAA considers that ASIC will need to complement these initiatives with a mindset that sees it become more </w:t>
      </w:r>
      <w:r w:rsidRPr="001334A6">
        <w:t xml:space="preserve">transparent, open and responsive to feedback </w:t>
      </w:r>
      <w:r>
        <w:t xml:space="preserve">from stakeholders. This will require ASIC to </w:t>
      </w:r>
      <w:r w:rsidR="001A375B">
        <w:t>engage proactively with</w:t>
      </w:r>
      <w:r w:rsidR="00862D8A">
        <w:t xml:space="preserve"> </w:t>
      </w:r>
      <w:r>
        <w:t xml:space="preserve">its stakeholders and consider their </w:t>
      </w:r>
      <w:r w:rsidR="00045B23">
        <w:t xml:space="preserve">ongoing </w:t>
      </w:r>
      <w:r>
        <w:t>experience in interacting with ASIC.</w:t>
      </w:r>
    </w:p>
    <w:p w14:paraId="6CAE2B8E" w14:textId="77777777" w:rsidR="00AF243C" w:rsidRPr="00BA1C51" w:rsidRDefault="00AF243C" w:rsidP="00BA1C51">
      <w:pPr>
        <w:pStyle w:val="Heading3"/>
      </w:pPr>
      <w:bookmarkStart w:id="14" w:name="_Toc108786404"/>
      <w:r w:rsidRPr="00BA1C51">
        <w:t>Measuring, assessing and reporting on outcomes</w:t>
      </w:r>
      <w:bookmarkEnd w:id="14"/>
    </w:p>
    <w:p w14:paraId="70C9E01E" w14:textId="77777777" w:rsidR="00AF243C" w:rsidRPr="00A92840" w:rsidRDefault="00AF243C" w:rsidP="006433C7">
      <w:r>
        <w:t xml:space="preserve">To determine whether ASIC is achieving its statutory objectives it is necessary </w:t>
      </w:r>
      <w:r w:rsidRPr="006433C7">
        <w:t>that</w:t>
      </w:r>
      <w:r>
        <w:t xml:space="preserve"> ASIC establish and embed </w:t>
      </w:r>
      <w:r w:rsidRPr="00A92840">
        <w:t>measures to assess the outcomes of its regulatory activities. ASIC should publish the results of these measures to increase transparency and accountability.</w:t>
      </w:r>
    </w:p>
    <w:p w14:paraId="0BA7D0B8" w14:textId="5420B2ED" w:rsidR="00AF243C" w:rsidRPr="00A92840" w:rsidRDefault="00AF243C" w:rsidP="006433C7">
      <w:r w:rsidRPr="00A92840">
        <w:t xml:space="preserve">The FRAA </w:t>
      </w:r>
      <w:r w:rsidRPr="006433C7">
        <w:t>notes</w:t>
      </w:r>
      <w:r w:rsidRPr="00A92840">
        <w:t xml:space="preserve"> that ASIC plans to </w:t>
      </w:r>
      <w:r>
        <w:t xml:space="preserve">improve the manner in which it </w:t>
      </w:r>
      <w:r w:rsidRPr="00A92840">
        <w:t>evaluate</w:t>
      </w:r>
      <w:r>
        <w:t>s</w:t>
      </w:r>
      <w:r w:rsidRPr="00A92840">
        <w:t xml:space="preserve"> its performance. The FRAA considers this will complement the FRAA</w:t>
      </w:r>
      <w:r w:rsidR="00EF40B0">
        <w:t>’</w:t>
      </w:r>
      <w:r w:rsidRPr="00A92840">
        <w:t xml:space="preserve">s joint work with </w:t>
      </w:r>
      <w:r w:rsidR="00451591">
        <w:t>ASIC</w:t>
      </w:r>
      <w:r w:rsidRPr="00A92840">
        <w:t xml:space="preserve"> to develop a transparent and consistent framework to measure the</w:t>
      </w:r>
      <w:r>
        <w:t xml:space="preserve"> regulators</w:t>
      </w:r>
      <w:r w:rsidR="00EF40B0">
        <w:t>’</w:t>
      </w:r>
      <w:r>
        <w:t xml:space="preserve"> </w:t>
      </w:r>
      <w:r w:rsidRPr="00A92840">
        <w:t>effectiveness and capability</w:t>
      </w:r>
      <w:r w:rsidR="001A1CBE">
        <w:t xml:space="preserve">. </w:t>
      </w:r>
    </w:p>
    <w:p w14:paraId="3FFED306" w14:textId="77777777" w:rsidR="00AF243C" w:rsidRDefault="00AF243C" w:rsidP="006433C7">
      <w:r>
        <w:t>The</w:t>
      </w:r>
      <w:r w:rsidRPr="00A92840">
        <w:t xml:space="preserve"> FRAA </w:t>
      </w:r>
      <w:r w:rsidRPr="006433C7">
        <w:t>considers</w:t>
      </w:r>
      <w:r w:rsidRPr="00A92840">
        <w:t xml:space="preserve"> </w:t>
      </w:r>
      <w:r>
        <w:t xml:space="preserve">it important that alongside the development of measures, ASIC leadership drive a cultural shift to be open to and look for </w:t>
      </w:r>
      <w:r w:rsidRPr="00A92840">
        <w:t>opportunities for continual improvement.</w:t>
      </w:r>
    </w:p>
    <w:p w14:paraId="2DF25F27" w14:textId="77777777" w:rsidR="00AF243C" w:rsidRPr="00BA1C51" w:rsidRDefault="00AF243C" w:rsidP="00BA1C51">
      <w:pPr>
        <w:pStyle w:val="Heading3"/>
      </w:pPr>
      <w:bookmarkStart w:id="15" w:name="_Toc108786405"/>
      <w:r w:rsidRPr="00BA1C51">
        <w:t>Mix of skill sets</w:t>
      </w:r>
      <w:bookmarkEnd w:id="15"/>
    </w:p>
    <w:p w14:paraId="58D6C5EB" w14:textId="540809F9" w:rsidR="007A620C" w:rsidRDefault="00AF243C" w:rsidP="006433C7">
      <w:r w:rsidRPr="00783AC0">
        <w:t xml:space="preserve">ASIC has identified the need to support and equip its staff with the right mindset and the necessary tools and </w:t>
      </w:r>
      <w:r w:rsidRPr="00FF58D1">
        <w:t>capabilities, including to be</w:t>
      </w:r>
      <w:r w:rsidR="007647A4" w:rsidRPr="00FF58D1">
        <w:t>come</w:t>
      </w:r>
      <w:r w:rsidRPr="00FF58D1">
        <w:t xml:space="preserve"> </w:t>
      </w:r>
      <w:r w:rsidRPr="006433C7">
        <w:t>more</w:t>
      </w:r>
      <w:r w:rsidRPr="00FF58D1">
        <w:t xml:space="preserve"> digitally enabled. ASIC has developed a new </w:t>
      </w:r>
      <w:r w:rsidR="00C207C7">
        <w:t>P</w:t>
      </w:r>
      <w:r w:rsidRPr="00FF58D1">
        <w:t xml:space="preserve">eople </w:t>
      </w:r>
      <w:r w:rsidR="00C207C7">
        <w:t>S</w:t>
      </w:r>
      <w:r w:rsidRPr="00FF58D1">
        <w:t xml:space="preserve">trategy and </w:t>
      </w:r>
      <w:r w:rsidR="007647A4" w:rsidRPr="00FF58D1">
        <w:t xml:space="preserve">has </w:t>
      </w:r>
      <w:r w:rsidRPr="00FF58D1">
        <w:t>identified initiatives to support this goal.</w:t>
      </w:r>
      <w:r w:rsidR="001C6D8D">
        <w:t xml:space="preserve"> </w:t>
      </w:r>
      <w:r w:rsidRPr="00FF58D1">
        <w:t xml:space="preserve">The FRAA considers it important that ASIC has an ongoing focus on </w:t>
      </w:r>
      <w:r w:rsidRPr="006433C7">
        <w:t>broadening</w:t>
      </w:r>
      <w:r w:rsidRPr="00FF58D1">
        <w:t xml:space="preserve"> its mix of skill sets. </w:t>
      </w:r>
    </w:p>
    <w:p w14:paraId="05D5D12D" w14:textId="4E36E0A1" w:rsidR="00063E4B" w:rsidRDefault="00063E4B" w:rsidP="00063E4B">
      <w:pPr>
        <w:pStyle w:val="Bullet"/>
        <w:numPr>
          <w:ilvl w:val="0"/>
          <w:numId w:val="0"/>
        </w:numPr>
        <w:rPr>
          <w:szCs w:val="22"/>
        </w:rPr>
      </w:pPr>
      <w:r w:rsidRPr="00AC4C88">
        <w:rPr>
          <w:szCs w:val="22"/>
        </w:rPr>
        <w:lastRenderedPageBreak/>
        <w:t xml:space="preserve">To implement the recommendations </w:t>
      </w:r>
      <w:r>
        <w:rPr>
          <w:szCs w:val="22"/>
        </w:rPr>
        <w:t xml:space="preserve">in this report ASIC will need </w:t>
      </w:r>
      <w:r w:rsidRPr="00AC4C88">
        <w:rPr>
          <w:szCs w:val="22"/>
        </w:rPr>
        <w:t xml:space="preserve">the </w:t>
      </w:r>
      <w:r>
        <w:rPr>
          <w:szCs w:val="22"/>
        </w:rPr>
        <w:t xml:space="preserve">right cultural settings, organisational capability and </w:t>
      </w:r>
      <w:r w:rsidRPr="002933EB">
        <w:rPr>
          <w:szCs w:val="22"/>
        </w:rPr>
        <w:t>people skills</w:t>
      </w:r>
      <w:r>
        <w:rPr>
          <w:szCs w:val="22"/>
        </w:rPr>
        <w:t xml:space="preserve"> to:</w:t>
      </w:r>
    </w:p>
    <w:p w14:paraId="76C66770" w14:textId="77777777" w:rsidR="00063E4B" w:rsidRDefault="00063E4B" w:rsidP="00812515">
      <w:pPr>
        <w:pStyle w:val="Bulletleft"/>
      </w:pPr>
      <w:r>
        <w:t xml:space="preserve">uplift its </w:t>
      </w:r>
      <w:r w:rsidRPr="00AC4C88">
        <w:t>data and technology</w:t>
      </w:r>
      <w:r>
        <w:t xml:space="preserve"> capability</w:t>
      </w:r>
    </w:p>
    <w:p w14:paraId="347B2774" w14:textId="1F87076B" w:rsidR="00063E4B" w:rsidRDefault="00063E4B" w:rsidP="00812515">
      <w:pPr>
        <w:pStyle w:val="Bulletleft"/>
      </w:pPr>
      <w:r>
        <w:t>improve</w:t>
      </w:r>
      <w:r w:rsidRPr="00AC4C88">
        <w:t xml:space="preserve"> </w:t>
      </w:r>
      <w:r>
        <w:t xml:space="preserve">its </w:t>
      </w:r>
      <w:r w:rsidRPr="00AC4C88">
        <w:t>engagement with stakeholder</w:t>
      </w:r>
      <w:r>
        <w:t>s</w:t>
      </w:r>
    </w:p>
    <w:p w14:paraId="73A5590A" w14:textId="2363419F" w:rsidR="00063E4B" w:rsidRPr="00AC4C88" w:rsidRDefault="00063E4B" w:rsidP="00812515">
      <w:pPr>
        <w:pStyle w:val="Bulletleft"/>
      </w:pPr>
      <w:r w:rsidRPr="00AC4C88">
        <w:t>self</w:t>
      </w:r>
      <w:r w:rsidR="00EF40B0">
        <w:noBreakHyphen/>
      </w:r>
      <w:r w:rsidRPr="00AC4C88">
        <w:t>assess</w:t>
      </w:r>
      <w:r>
        <w:t xml:space="preserve"> its regulatory </w:t>
      </w:r>
      <w:r w:rsidRPr="00AC4C88">
        <w:t>outcomes. </w:t>
      </w:r>
    </w:p>
    <w:p w14:paraId="2955D4E9" w14:textId="77777777" w:rsidR="00063E4B" w:rsidRPr="00783AC0" w:rsidRDefault="00063E4B" w:rsidP="00063E4B">
      <w:pPr>
        <w:pStyle w:val="Bullet"/>
        <w:numPr>
          <w:ilvl w:val="0"/>
          <w:numId w:val="0"/>
        </w:numPr>
        <w:rPr>
          <w:szCs w:val="22"/>
        </w:rPr>
      </w:pPr>
      <w:r>
        <w:rPr>
          <w:szCs w:val="22"/>
        </w:rPr>
        <w:t xml:space="preserve">The FRAA expects that this would support ASIC to deliver its </w:t>
      </w:r>
      <w:r w:rsidRPr="00783AC0">
        <w:rPr>
          <w:szCs w:val="22"/>
        </w:rPr>
        <w:t xml:space="preserve">vision to create </w:t>
      </w:r>
      <w:r>
        <w:rPr>
          <w:szCs w:val="22"/>
        </w:rPr>
        <w:t>an</w:t>
      </w:r>
      <w:r w:rsidRPr="00783AC0">
        <w:rPr>
          <w:szCs w:val="22"/>
        </w:rPr>
        <w:t xml:space="preserve"> environment for </w:t>
      </w:r>
      <w:r>
        <w:rPr>
          <w:szCs w:val="22"/>
        </w:rPr>
        <w:t xml:space="preserve">its staff </w:t>
      </w:r>
      <w:r w:rsidRPr="00783AC0">
        <w:rPr>
          <w:szCs w:val="22"/>
        </w:rPr>
        <w:t>to make confident decisions</w:t>
      </w:r>
      <w:r>
        <w:rPr>
          <w:szCs w:val="22"/>
        </w:rPr>
        <w:t xml:space="preserve"> and </w:t>
      </w:r>
      <w:r w:rsidRPr="00783AC0">
        <w:rPr>
          <w:szCs w:val="22"/>
        </w:rPr>
        <w:t>achieve ambitious regulatory outc</w:t>
      </w:r>
      <w:r>
        <w:rPr>
          <w:szCs w:val="22"/>
        </w:rPr>
        <w:t>omes.</w:t>
      </w:r>
    </w:p>
    <w:p w14:paraId="4DD51709" w14:textId="77777777" w:rsidR="00AF243C" w:rsidRPr="00184690" w:rsidRDefault="00AF243C" w:rsidP="00184690">
      <w:pPr>
        <w:pStyle w:val="Heading2"/>
      </w:pPr>
      <w:bookmarkStart w:id="16" w:name="_Toc110241806"/>
      <w:r w:rsidRPr="00184690">
        <w:t>Future actions</w:t>
      </w:r>
      <w:bookmarkEnd w:id="16"/>
    </w:p>
    <w:p w14:paraId="02E18F76" w14:textId="1C65A20F" w:rsidR="00AF243C" w:rsidRPr="006433C7" w:rsidRDefault="00AF243C" w:rsidP="006433C7">
      <w:r w:rsidRPr="006433C7">
        <w:t xml:space="preserve">As outlined in </w:t>
      </w:r>
      <w:r w:rsidR="00A6032A" w:rsidRPr="00DA3518">
        <w:t>Chapter 1: FRAA objectives and methodology</w:t>
      </w:r>
      <w:r w:rsidRPr="006433C7">
        <w:t xml:space="preserve">, the FRAA intends to work with ASIC and </w:t>
      </w:r>
      <w:r w:rsidR="00C61320">
        <w:t>Australian Prudential Regulation Authority (</w:t>
      </w:r>
      <w:r w:rsidRPr="006433C7">
        <w:t>APRA</w:t>
      </w:r>
      <w:r w:rsidR="00C61320" w:rsidRPr="00C61320">
        <w:t>)</w:t>
      </w:r>
      <w:r w:rsidRPr="006433C7">
        <w:t xml:space="preserve"> over the coming year to develop metrics to measure their effectiveness and capability</w:t>
      </w:r>
      <w:r w:rsidR="001A1CBE">
        <w:t xml:space="preserve">. </w:t>
      </w:r>
    </w:p>
    <w:p w14:paraId="22495785" w14:textId="2535B5AC" w:rsidR="00AF243C" w:rsidRPr="006433C7" w:rsidRDefault="00AF243C" w:rsidP="006433C7">
      <w:r w:rsidRPr="006433C7">
        <w:t>The FRAA</w:t>
      </w:r>
      <w:r w:rsidR="00EF40B0">
        <w:t>’</w:t>
      </w:r>
      <w:r w:rsidRPr="006433C7">
        <w:t>s next review of ASIC in 2023</w:t>
      </w:r>
      <w:r w:rsidR="00482D41">
        <w:t>–</w:t>
      </w:r>
      <w:r w:rsidRPr="006433C7">
        <w:t xml:space="preserve">24 will assess different areas of </w:t>
      </w:r>
      <w:r w:rsidR="005B327F">
        <w:t>its</w:t>
      </w:r>
      <w:r w:rsidR="005B327F" w:rsidRPr="006433C7">
        <w:t xml:space="preserve"> </w:t>
      </w:r>
      <w:r w:rsidRPr="006433C7">
        <w:t>functions. The FRAA will consider how the changes in ASIC</w:t>
      </w:r>
      <w:r w:rsidR="00EF40B0">
        <w:t>’</w:t>
      </w:r>
      <w:r w:rsidRPr="006433C7">
        <w:t xml:space="preserve">s governance and accountability framework are operating in practice (refer </w:t>
      </w:r>
      <w:r w:rsidR="00A6032A" w:rsidRPr="00E26C84">
        <w:t>Chapter 3: Strategic prioritisation, planning and decision</w:t>
      </w:r>
      <w:r w:rsidR="00A6032A">
        <w:noBreakHyphen/>
      </w:r>
      <w:r w:rsidR="00A6032A" w:rsidRPr="00E26C84">
        <w:t>making</w:t>
      </w:r>
      <w:r w:rsidRPr="006433C7">
        <w:t>). The FRAA also intends to review ASIC</w:t>
      </w:r>
      <w:r w:rsidR="00EF40B0">
        <w:t>’</w:t>
      </w:r>
      <w:r w:rsidRPr="006433C7">
        <w:t xml:space="preserve">s progress on the recommendations outlined in this report including the projects that ASIC has underway or commenced during this review. These projects are set out in </w:t>
      </w:r>
      <w:r w:rsidR="00A6032A" w:rsidRPr="00AE72B0">
        <w:t>Box 3.</w:t>
      </w:r>
      <w:r w:rsidR="00A6032A">
        <w:t>3</w:t>
      </w:r>
      <w:r w:rsidRPr="006433C7">
        <w:t xml:space="preserve">, </w:t>
      </w:r>
      <w:r w:rsidR="00A6032A" w:rsidRPr="004E21EA">
        <w:t>Box 4.2</w:t>
      </w:r>
      <w:r w:rsidR="00C52B34">
        <w:t xml:space="preserve"> and</w:t>
      </w:r>
      <w:r w:rsidRPr="006433C7">
        <w:t xml:space="preserve"> </w:t>
      </w:r>
      <w:r w:rsidR="00A6032A" w:rsidRPr="00C9586D">
        <w:rPr>
          <w:rFonts w:eastAsia="Calibri"/>
        </w:rPr>
        <w:t>Box 5.</w:t>
      </w:r>
      <w:r w:rsidR="00A6032A">
        <w:rPr>
          <w:rFonts w:eastAsia="Calibri"/>
        </w:rPr>
        <w:t>2</w:t>
      </w:r>
      <w:r w:rsidRPr="006433C7">
        <w:t>.</w:t>
      </w:r>
    </w:p>
    <w:p w14:paraId="72AF3EE4" w14:textId="77777777" w:rsidR="00AF243C" w:rsidRPr="00833BCA" w:rsidRDefault="00AF243C" w:rsidP="00833BCA">
      <w:pPr>
        <w:pStyle w:val="Heading2"/>
      </w:pPr>
      <w:bookmarkStart w:id="17" w:name="_Toc110241807"/>
      <w:r w:rsidRPr="00833BCA">
        <w:t>Outline of this report</w:t>
      </w:r>
      <w:bookmarkEnd w:id="17"/>
    </w:p>
    <w:p w14:paraId="480C9CCD" w14:textId="6C0F414B" w:rsidR="00AF243C" w:rsidRDefault="00AF243C" w:rsidP="00AF243C">
      <w:r>
        <w:t>This report begins with an overview of the FRAA and the methodology for its reviews (</w:t>
      </w:r>
      <w:r w:rsidR="00482D41">
        <w:t xml:space="preserve">refer </w:t>
      </w:r>
      <w:r w:rsidR="00840E20">
        <w:br/>
      </w:r>
      <w:r w:rsidR="00A6032A" w:rsidRPr="00DA3518">
        <w:t>Chapter 1: FRAA objectives and methodology</w:t>
      </w:r>
      <w:r>
        <w:t>) and then outlines ASIC</w:t>
      </w:r>
      <w:r w:rsidR="00EF40B0">
        <w:t>’</w:t>
      </w:r>
      <w:r>
        <w:t>s role in the Australian financial system (</w:t>
      </w:r>
      <w:r w:rsidR="001C0BE2">
        <w:t xml:space="preserve">refer </w:t>
      </w:r>
      <w:r w:rsidR="00A6032A" w:rsidRPr="00E474CC">
        <w:t>Chapter 2: ASIC</w:t>
      </w:r>
      <w:r w:rsidR="00A6032A">
        <w:t>’</w:t>
      </w:r>
      <w:r w:rsidR="00A6032A" w:rsidRPr="00E474CC">
        <w:t>s role in the Australian financial system</w:t>
      </w:r>
      <w:r>
        <w:t xml:space="preserve">). </w:t>
      </w:r>
      <w:r w:rsidR="00482D41">
        <w:t>C</w:t>
      </w:r>
      <w:r>
        <w:t>hapters 3 to 5 outline the evidence gathered and the overall assessment</w:t>
      </w:r>
      <w:r w:rsidRPr="0069432B">
        <w:t xml:space="preserve"> </w:t>
      </w:r>
      <w:r>
        <w:t xml:space="preserve">for each of the 3 review areas. The outcomes of this review and recommendations are discussed in </w:t>
      </w:r>
      <w:r w:rsidR="00A6032A" w:rsidRPr="00E474CC">
        <w:t xml:space="preserve">Chapter 6: Outcomes </w:t>
      </w:r>
      <w:r w:rsidR="00A6032A">
        <w:t>of this</w:t>
      </w:r>
      <w:r w:rsidR="00A6032A" w:rsidRPr="00E474CC">
        <w:t xml:space="preserve"> </w:t>
      </w:r>
      <w:r w:rsidR="00A6032A">
        <w:t>r</w:t>
      </w:r>
      <w:r w:rsidR="00A6032A" w:rsidRPr="00E474CC">
        <w:t>eview</w:t>
      </w:r>
      <w:r>
        <w:t>.</w:t>
      </w:r>
    </w:p>
    <w:p w14:paraId="321F840E" w14:textId="77777777" w:rsidR="00A71C44" w:rsidRDefault="00A71C44" w:rsidP="00840145"/>
    <w:p w14:paraId="29E6C69B" w14:textId="77777777" w:rsidR="0036108D" w:rsidRPr="006433C7" w:rsidRDefault="0036108D" w:rsidP="006433C7">
      <w:pPr>
        <w:sectPr w:rsidR="0036108D" w:rsidRPr="006433C7" w:rsidSect="00526D0C">
          <w:footerReference w:type="even" r:id="rId34"/>
          <w:type w:val="oddPage"/>
          <w:pgSz w:w="11906" w:h="16838" w:code="9"/>
          <w:pgMar w:top="1418" w:right="1418" w:bottom="1418" w:left="1418" w:header="709" w:footer="709" w:gutter="0"/>
          <w:cols w:space="708"/>
          <w:docGrid w:linePitch="360"/>
        </w:sectPr>
      </w:pPr>
      <w:bookmarkStart w:id="18" w:name="_Toc103249222"/>
    </w:p>
    <w:p w14:paraId="31D6303F" w14:textId="77777777" w:rsidR="00DA3518" w:rsidRPr="00DA3518" w:rsidRDefault="00DA3518" w:rsidP="00AA62E2">
      <w:pPr>
        <w:pStyle w:val="Heading1"/>
      </w:pPr>
      <w:bookmarkStart w:id="19" w:name="_Toc110241808"/>
      <w:bookmarkStart w:id="20" w:name="_Ref110257846"/>
      <w:bookmarkStart w:id="21" w:name="_Ref110261626"/>
      <w:bookmarkStart w:id="22" w:name="_Ref110262900"/>
      <w:r w:rsidRPr="00DA3518">
        <w:lastRenderedPageBreak/>
        <w:t>Chapter 1: FRAA objectives and methodology</w:t>
      </w:r>
      <w:bookmarkEnd w:id="18"/>
      <w:bookmarkEnd w:id="19"/>
      <w:bookmarkEnd w:id="20"/>
      <w:bookmarkEnd w:id="21"/>
      <w:bookmarkEnd w:id="22"/>
      <w:r w:rsidRPr="00DA3518">
        <w:t xml:space="preserve"> </w:t>
      </w:r>
    </w:p>
    <w:p w14:paraId="0B234BA1" w14:textId="77777777" w:rsidR="00DA3518" w:rsidRPr="002B3D8D" w:rsidRDefault="00DA3518" w:rsidP="002B3D8D">
      <w:pPr>
        <w:pStyle w:val="Heading2"/>
        <w:rPr>
          <w:rFonts w:eastAsiaTheme="minorHAnsi"/>
        </w:rPr>
      </w:pPr>
      <w:bookmarkStart w:id="23" w:name="_Toc103249223"/>
      <w:bookmarkStart w:id="24" w:name="_Toc110241809"/>
      <w:r w:rsidRPr="002B3D8D">
        <w:rPr>
          <w:rFonts w:eastAsiaTheme="minorHAnsi"/>
        </w:rPr>
        <w:t>Overview of the FRAA</w:t>
      </w:r>
      <w:bookmarkEnd w:id="23"/>
      <w:bookmarkEnd w:id="24"/>
    </w:p>
    <w:p w14:paraId="64190EC4" w14:textId="4369D62D" w:rsidR="00DA3518" w:rsidRPr="00FE3F48" w:rsidRDefault="00DA3518" w:rsidP="00975036">
      <w:pPr>
        <w:pStyle w:val="numberedtext"/>
        <w:numPr>
          <w:ilvl w:val="1"/>
          <w:numId w:val="14"/>
        </w:numPr>
      </w:pPr>
      <w:bookmarkStart w:id="25" w:name="_Toc103249224"/>
      <w:r w:rsidRPr="00FE3F48">
        <w:t xml:space="preserve">The </w:t>
      </w:r>
      <w:r w:rsidR="00704376">
        <w:t>FRAA</w:t>
      </w:r>
      <w:r w:rsidRPr="00FE3F48">
        <w:t xml:space="preserve"> was established in response to the Royal Commission into Misconduct in the Banking, Superannuation and Financial Services Industry</w:t>
      </w:r>
      <w:r w:rsidR="00F55AE3">
        <w:t xml:space="preserve"> (Royal Commission)</w:t>
      </w:r>
      <w:r w:rsidRPr="00FE3F48">
        <w:t>.</w:t>
      </w:r>
      <w:r>
        <w:rPr>
          <w:rStyle w:val="FootnoteReference"/>
          <w:sz w:val="22"/>
        </w:rPr>
        <w:footnoteReference w:id="5"/>
      </w:r>
      <w:r w:rsidRPr="00FE2686">
        <w:rPr>
          <w:rStyle w:val="FootnoteReference"/>
          <w:sz w:val="22"/>
        </w:rPr>
        <w:t xml:space="preserve"> </w:t>
      </w:r>
      <w:r>
        <w:t xml:space="preserve">The Royal Commission recommended the creation of an independent oversight authority to assess the effectiveness and capability of </w:t>
      </w:r>
      <w:r w:rsidR="00704376">
        <w:t>ASIC</w:t>
      </w:r>
      <w:r w:rsidR="00AA62E2" w:rsidRPr="00295585">
        <w:t xml:space="preserve"> </w:t>
      </w:r>
      <w:r w:rsidR="00AA62E2">
        <w:t xml:space="preserve">and </w:t>
      </w:r>
      <w:r w:rsidR="00704376">
        <w:t>APRA</w:t>
      </w:r>
      <w:r w:rsidR="00AA62E2">
        <w:t xml:space="preserve"> (together, the </w:t>
      </w:r>
      <w:r w:rsidR="00AE5AA0">
        <w:t>r</w:t>
      </w:r>
      <w:r w:rsidR="00AA62E2">
        <w:t>egulators).</w:t>
      </w:r>
      <w:r w:rsidR="00AA62E2" w:rsidRPr="00FE3F48" w:rsidDel="000312F6">
        <w:t xml:space="preserve"> </w:t>
      </w:r>
      <w:r w:rsidRPr="00FE3F48">
        <w:t xml:space="preserve">The FRAA is a permanent body, composed of </w:t>
      </w:r>
      <w:r w:rsidRPr="4D58F49A">
        <w:t xml:space="preserve">3 </w:t>
      </w:r>
      <w:r w:rsidRPr="00FE3F48">
        <w:t>part</w:t>
      </w:r>
      <w:r w:rsidR="00EF40B0">
        <w:noBreakHyphen/>
      </w:r>
      <w:r w:rsidRPr="00FE3F48">
        <w:t xml:space="preserve">time members appointed by the </w:t>
      </w:r>
      <w:r w:rsidR="007A43B2">
        <w:t>m</w:t>
      </w:r>
      <w:r w:rsidRPr="00FE3F48">
        <w:t xml:space="preserve">inister for </w:t>
      </w:r>
      <w:r w:rsidRPr="4D58F49A">
        <w:t>5</w:t>
      </w:r>
      <w:r w:rsidR="00EF40B0">
        <w:noBreakHyphen/>
      </w:r>
      <w:r w:rsidR="00AA62E2" w:rsidRPr="00FE3F48">
        <w:t>year terms.</w:t>
      </w:r>
      <w:r w:rsidRPr="00FE3F48">
        <w:t xml:space="preserve"> The FRAA is supported by a </w:t>
      </w:r>
      <w:r w:rsidR="008613C1">
        <w:t>s</w:t>
      </w:r>
      <w:r w:rsidRPr="00FE3F48">
        <w:t>ecretariat of Treasury staff.</w:t>
      </w:r>
    </w:p>
    <w:p w14:paraId="305866A5" w14:textId="307506F0" w:rsidR="00807130" w:rsidRDefault="00DA3518" w:rsidP="00975036">
      <w:pPr>
        <w:pStyle w:val="numberedtext"/>
        <w:numPr>
          <w:ilvl w:val="1"/>
          <w:numId w:val="14"/>
        </w:numPr>
      </w:pPr>
      <w:r w:rsidRPr="00FE3F48">
        <w:t>The FRAA</w:t>
      </w:r>
      <w:r w:rsidR="00EF40B0">
        <w:t>’</w:t>
      </w:r>
      <w:r w:rsidRPr="00FE3F48">
        <w:t xml:space="preserve">s statutory mandate requires it to assess and report on the effectiveness and capability of </w:t>
      </w:r>
      <w:r>
        <w:t xml:space="preserve">the </w:t>
      </w:r>
      <w:r w:rsidR="00BE5241">
        <w:t>r</w:t>
      </w:r>
      <w:r>
        <w:t xml:space="preserve">egulators </w:t>
      </w:r>
      <w:r w:rsidRPr="00FE3F48">
        <w:t xml:space="preserve">on a biennial basis, with reports to be delivered to the </w:t>
      </w:r>
      <w:r w:rsidR="007C1ECD">
        <w:t>m</w:t>
      </w:r>
      <w:r w:rsidRPr="00FE3F48">
        <w:t>inister and tabled in Parliament.</w:t>
      </w:r>
      <w:r w:rsidRPr="00FE3F48">
        <w:rPr>
          <w:rStyle w:val="FootnoteReference"/>
          <w:sz w:val="22"/>
        </w:rPr>
        <w:footnoteReference w:id="6"/>
      </w:r>
      <w:r w:rsidRPr="00FE2686">
        <w:rPr>
          <w:rStyle w:val="FootnoteReference"/>
          <w:sz w:val="22"/>
        </w:rPr>
        <w:t xml:space="preserve"> </w:t>
      </w:r>
      <w:r w:rsidRPr="00FE3F48">
        <w:t xml:space="preserve">The relevant </w:t>
      </w:r>
      <w:r w:rsidR="00BE5241">
        <w:t>m</w:t>
      </w:r>
      <w:r w:rsidRPr="00FE3F48">
        <w:t xml:space="preserve">inister can also direct the FRAA to prepare </w:t>
      </w:r>
      <w:r>
        <w:t>a</w:t>
      </w:r>
      <w:r w:rsidRPr="00FE3F48">
        <w:t xml:space="preserve"> report on </w:t>
      </w:r>
      <w:r>
        <w:t xml:space="preserve">any </w:t>
      </w:r>
      <w:r w:rsidRPr="00FE3F48">
        <w:t xml:space="preserve">matter related to </w:t>
      </w:r>
      <w:r>
        <w:t xml:space="preserve">the </w:t>
      </w:r>
      <w:r w:rsidR="00BE5241">
        <w:t>r</w:t>
      </w:r>
      <w:r>
        <w:t>egulators</w:t>
      </w:r>
      <w:r w:rsidR="00EF40B0">
        <w:t>’</w:t>
      </w:r>
      <w:r w:rsidRPr="00FE3F48">
        <w:t xml:space="preserve"> effectiveness and capability.</w:t>
      </w:r>
      <w:r>
        <w:rPr>
          <w:rStyle w:val="FootnoteReference"/>
          <w:sz w:val="22"/>
        </w:rPr>
        <w:footnoteReference w:id="7"/>
      </w:r>
      <w:r w:rsidRPr="00FE2686">
        <w:rPr>
          <w:rStyle w:val="FootnoteReference"/>
          <w:sz w:val="22"/>
        </w:rPr>
        <w:t xml:space="preserve"> </w:t>
      </w:r>
      <w:r w:rsidR="00D40CAE">
        <w:t xml:space="preserve"> </w:t>
      </w:r>
      <w:r w:rsidRPr="00FE3F48">
        <w:t>The FRAA</w:t>
      </w:r>
      <w:r w:rsidR="00EF40B0">
        <w:t>’</w:t>
      </w:r>
      <w:r w:rsidRPr="00FE3F48">
        <w:t xml:space="preserve">s legislative authority precludes it from </w:t>
      </w:r>
      <w:r>
        <w:t>assessing or reporting on only a single case</w:t>
      </w:r>
      <w:r w:rsidRPr="00FE3F48">
        <w:t>.</w:t>
      </w:r>
      <w:r>
        <w:rPr>
          <w:rStyle w:val="FootnoteReference"/>
          <w:sz w:val="22"/>
        </w:rPr>
        <w:footnoteReference w:id="8"/>
      </w:r>
      <w:r w:rsidRPr="00FE2686">
        <w:rPr>
          <w:rStyle w:val="FootnoteReference"/>
          <w:sz w:val="22"/>
        </w:rPr>
        <w:t xml:space="preserve"> </w:t>
      </w:r>
      <w:bookmarkEnd w:id="25"/>
      <w:r w:rsidRPr="00FE2686">
        <w:rPr>
          <w:rStyle w:val="FootnoteReference"/>
          <w:sz w:val="22"/>
        </w:rPr>
        <w:t xml:space="preserve"> </w:t>
      </w:r>
    </w:p>
    <w:p w14:paraId="4A66A1EE" w14:textId="1A40616C" w:rsidR="00DA3518" w:rsidRPr="001F78E5" w:rsidRDefault="00DA3518" w:rsidP="002B3D8D">
      <w:pPr>
        <w:pStyle w:val="Heading2"/>
        <w:rPr>
          <w:rFonts w:eastAsiaTheme="minorHAnsi"/>
          <w:color w:val="auto"/>
        </w:rPr>
      </w:pPr>
      <w:bookmarkStart w:id="26" w:name="_Toc110241810"/>
      <w:r w:rsidRPr="002B3D8D">
        <w:rPr>
          <w:rFonts w:eastAsiaTheme="minorHAnsi"/>
        </w:rPr>
        <w:t>The FRAA</w:t>
      </w:r>
      <w:r w:rsidR="00EF40B0">
        <w:rPr>
          <w:rFonts w:eastAsiaTheme="minorHAnsi"/>
        </w:rPr>
        <w:t>’</w:t>
      </w:r>
      <w:r w:rsidRPr="002B3D8D">
        <w:rPr>
          <w:rFonts w:eastAsiaTheme="minorHAnsi"/>
        </w:rPr>
        <w:t>s approach</w:t>
      </w:r>
      <w:bookmarkEnd w:id="26"/>
    </w:p>
    <w:p w14:paraId="5E5F0711" w14:textId="77777777" w:rsidR="00DA3518" w:rsidRDefault="00DA3518" w:rsidP="00975036">
      <w:pPr>
        <w:pStyle w:val="numberedtext"/>
        <w:numPr>
          <w:ilvl w:val="1"/>
          <w:numId w:val="14"/>
        </w:numPr>
      </w:pPr>
      <w:r>
        <w:t>ASIC</w:t>
      </w:r>
      <w:r w:rsidRPr="00285BBD">
        <w:t xml:space="preserve"> </w:t>
      </w:r>
      <w:r>
        <w:t>is</w:t>
      </w:r>
      <w:r w:rsidRPr="00285BBD">
        <w:t xml:space="preserve"> subject to a range of external accountability and oversight mechanisms</w:t>
      </w:r>
      <w:r>
        <w:t xml:space="preserve"> and in recent years, </w:t>
      </w:r>
      <w:r w:rsidR="00AA62E2">
        <w:t>has</w:t>
      </w:r>
      <w:r>
        <w:t xml:space="preserve"> been the subject of a number of performance reviews</w:t>
      </w:r>
      <w:r w:rsidRPr="00285BBD">
        <w:t>.</w:t>
      </w:r>
      <w:r w:rsidRPr="00285BBD">
        <w:rPr>
          <w:noProof/>
        </w:rPr>
        <w:t xml:space="preserve"> </w:t>
      </w:r>
    </w:p>
    <w:p w14:paraId="7E9F0EAF" w14:textId="51486262" w:rsidR="00AA62E2" w:rsidRDefault="00A6032A" w:rsidP="00975036">
      <w:pPr>
        <w:pStyle w:val="numberedtext"/>
        <w:numPr>
          <w:ilvl w:val="1"/>
          <w:numId w:val="14"/>
        </w:numPr>
      </w:pPr>
      <w:r w:rsidRPr="0079136A">
        <w:t>Figure 1.1</w:t>
      </w:r>
      <w:r w:rsidR="00812515">
        <w:t xml:space="preserve"> </w:t>
      </w:r>
      <w:r w:rsidR="00AA62E2">
        <w:t>sets out ASIC</w:t>
      </w:r>
      <w:r w:rsidR="00EF40B0">
        <w:t>’</w:t>
      </w:r>
      <w:r w:rsidR="00AA62E2">
        <w:t>s accountability mechanisms, including the various sources of its responsibilities, its reporting requirements, the means by which its performance is currently assessed, and the external review mechanisms available to hold it to account.</w:t>
      </w:r>
    </w:p>
    <w:p w14:paraId="335E1AA9" w14:textId="77777777" w:rsidR="008529DE" w:rsidRDefault="008529DE" w:rsidP="008529DE">
      <w:pPr>
        <w:pStyle w:val="numberedtext"/>
        <w:numPr>
          <w:ilvl w:val="1"/>
          <w:numId w:val="14"/>
        </w:numPr>
      </w:pPr>
      <w:r>
        <w:t>The</w:t>
      </w:r>
      <w:r w:rsidRPr="00285BBD">
        <w:t xml:space="preserve"> FRAA </w:t>
      </w:r>
      <w:r>
        <w:t>intends to</w:t>
      </w:r>
      <w:r w:rsidRPr="00285BBD">
        <w:t xml:space="preserve"> complement and </w:t>
      </w:r>
      <w:r>
        <w:t xml:space="preserve">not duplicate </w:t>
      </w:r>
      <w:r w:rsidRPr="00285BBD">
        <w:t xml:space="preserve">the existing external accountability mechanisms that apply to </w:t>
      </w:r>
      <w:r>
        <w:t>ASIC</w:t>
      </w:r>
      <w:r w:rsidRPr="00285BBD">
        <w:t>. Over time,</w:t>
      </w:r>
      <w:r>
        <w:t xml:space="preserve"> it is hoped that the</w:t>
      </w:r>
      <w:r w:rsidRPr="00285BBD">
        <w:t xml:space="preserve"> FRAA</w:t>
      </w:r>
      <w:r>
        <w:t>’</w:t>
      </w:r>
      <w:r w:rsidRPr="00285BBD">
        <w:t xml:space="preserve">s activities </w:t>
      </w:r>
      <w:r>
        <w:t>will</w:t>
      </w:r>
      <w:r w:rsidRPr="00285BBD">
        <w:t xml:space="preserve"> enhance the operation of </w:t>
      </w:r>
      <w:r>
        <w:t xml:space="preserve">these </w:t>
      </w:r>
      <w:r w:rsidRPr="00285BBD">
        <w:t>other mechanisms through creating a base of evidence and transparent benchmarks that can be drawn upon.</w:t>
      </w:r>
    </w:p>
    <w:p w14:paraId="2F6AE5FA" w14:textId="77777777" w:rsidR="008529DE" w:rsidRPr="00064387" w:rsidRDefault="008529DE" w:rsidP="008529DE">
      <w:pPr>
        <w:pStyle w:val="numberedtext"/>
        <w:ind w:left="0" w:firstLine="0"/>
      </w:pPr>
    </w:p>
    <w:p w14:paraId="2C811ABD" w14:textId="775060F6" w:rsidR="0079136A" w:rsidRPr="0079136A" w:rsidRDefault="00AA62E2" w:rsidP="001655A9">
      <w:pPr>
        <w:pStyle w:val="FigureMainHeading"/>
      </w:pPr>
      <w:bookmarkStart w:id="27" w:name="Figure_1_1"/>
      <w:r w:rsidRPr="0079136A">
        <w:lastRenderedPageBreak/>
        <w:t>Figure 1.1</w:t>
      </w:r>
      <w:bookmarkEnd w:id="27"/>
      <w:r w:rsidR="00840E20">
        <w:t>:</w:t>
      </w:r>
      <w:r w:rsidRPr="0079136A">
        <w:t xml:space="preserve"> ASIC</w:t>
      </w:r>
      <w:r w:rsidR="00EF40B0">
        <w:t>’</w:t>
      </w:r>
      <w:r w:rsidRPr="0079136A">
        <w:t>s accountability mechanisms</w:t>
      </w:r>
      <w:r w:rsidR="004E514A" w:rsidRPr="001F78E5">
        <w:rPr>
          <w:rStyle w:val="FootnoteReference"/>
          <w:b w:val="0"/>
          <w:sz w:val="22"/>
        </w:rPr>
        <w:footnoteReference w:id="9"/>
      </w:r>
    </w:p>
    <w:p w14:paraId="370344EA" w14:textId="740209AA" w:rsidR="00DA3518" w:rsidRPr="00285BBD" w:rsidRDefault="00F63250" w:rsidP="00A62BA2">
      <w:pPr>
        <w:pStyle w:val="ChartGraphic"/>
        <w:ind w:left="510"/>
      </w:pPr>
      <w:r>
        <w:rPr>
          <w:noProof/>
        </w:rPr>
        <w:drawing>
          <wp:inline distT="0" distB="0" distL="0" distR="0" wp14:anchorId="68A61559" wp14:editId="74D0EBA7">
            <wp:extent cx="5492006" cy="4980582"/>
            <wp:effectExtent l="0" t="0" r="0" b="0"/>
            <wp:docPr id="4" name="Picture 4" descr="Figure 1.1 contains 4 columns of text listing the different mechanisms holding ASIC to account. Column 1 is titled 'Objective setting' and lists the laws and standards, and Government-issued accountability methods. Column 2 is titled 'Reporting' and lists ASIC's statutory reporting requirements. Column 3 is titled 'Performance assessment' and lists ASIC's Parliamentary appearances and parliamentary reporting requirements. Column 4 is titled 'Review' and lists accountability mechanisms under the sub-headings 'International', 'Governance/Review of decisions', and 'Government and independent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1 contains 4 columns of text listing the different mechanisms holding ASIC to account. Column 1 is titled 'Objective setting' and lists the laws and standards, and Government-issued accountability methods. Column 2 is titled 'Reporting' and lists ASIC's statutory reporting requirements. Column 3 is titled 'Performance assessment' and lists ASIC's Parliamentary appearances and parliamentary reporting requirements. Column 4 is titled 'Review' and lists accountability mechanisms under the sub-headings 'International', 'Governance/Review of decisions', and 'Government and independent reviews'."/>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492006" cy="4980582"/>
                    </a:xfrm>
                    <a:prstGeom prst="rect">
                      <a:avLst/>
                    </a:prstGeom>
                    <a:noFill/>
                    <a:ln>
                      <a:noFill/>
                    </a:ln>
                  </pic:spPr>
                </pic:pic>
              </a:graphicData>
            </a:graphic>
          </wp:inline>
        </w:drawing>
      </w:r>
    </w:p>
    <w:p w14:paraId="71AFB3AD" w14:textId="1D414469" w:rsidR="00295E4C" w:rsidRPr="00295E4C" w:rsidRDefault="00295E4C" w:rsidP="008529DE">
      <w:pPr>
        <w:pStyle w:val="Source"/>
        <w:spacing w:before="0"/>
      </w:pPr>
      <w:r w:rsidRPr="00E6411A">
        <w:t>Source: Treasury</w:t>
      </w:r>
      <w:r>
        <w:t>, 2022.</w:t>
      </w:r>
    </w:p>
    <w:p w14:paraId="137789DF" w14:textId="06BB0317" w:rsidR="00DA3518" w:rsidRDefault="00DA3518" w:rsidP="00975036">
      <w:pPr>
        <w:pStyle w:val="numberedtext"/>
        <w:numPr>
          <w:ilvl w:val="1"/>
          <w:numId w:val="14"/>
        </w:numPr>
      </w:pPr>
      <w:r>
        <w:t>In this initial FRAA r</w:t>
      </w:r>
      <w:r w:rsidRPr="25F17B12">
        <w:t xml:space="preserve">eview of ASIC </w:t>
      </w:r>
      <w:r>
        <w:t xml:space="preserve">(this </w:t>
      </w:r>
      <w:r w:rsidR="004D4914">
        <w:t>r</w:t>
      </w:r>
      <w:r>
        <w:t xml:space="preserve">eview), </w:t>
      </w:r>
      <w:r w:rsidRPr="005E4F37">
        <w:t>the FRAA has laid the foundations of an approach which the FRAA expects to enhance over</w:t>
      </w:r>
      <w:r>
        <w:t xml:space="preserve"> </w:t>
      </w:r>
      <w:r w:rsidRPr="005E4F37">
        <w:t xml:space="preserve">time. </w:t>
      </w:r>
      <w:r w:rsidRPr="005E4F37" w:rsidDel="00831B49">
        <w:t>It is the FRAA</w:t>
      </w:r>
      <w:r w:rsidR="00EF40B0">
        <w:t>’</w:t>
      </w:r>
      <w:r w:rsidRPr="005E4F37" w:rsidDel="00831B49">
        <w:t xml:space="preserve">s expectation that ASIC, with the benefit of these </w:t>
      </w:r>
      <w:r w:rsidRPr="005E4F37">
        <w:t>r</w:t>
      </w:r>
      <w:r w:rsidRPr="005E4F37" w:rsidDel="00831B49">
        <w:t>eview</w:t>
      </w:r>
      <w:r w:rsidRPr="005E4F37">
        <w:t>s</w:t>
      </w:r>
      <w:r w:rsidRPr="005E4F37" w:rsidDel="00831B49">
        <w:t>, can work to strengthen its own processes for assessing its effectiveness and capability.</w:t>
      </w:r>
    </w:p>
    <w:p w14:paraId="6BF0E0B6" w14:textId="204DD68B" w:rsidR="00DA3518" w:rsidRPr="008238F7" w:rsidRDefault="00DA3518" w:rsidP="00975036">
      <w:pPr>
        <w:pStyle w:val="numberedtext"/>
        <w:numPr>
          <w:ilvl w:val="1"/>
          <w:numId w:val="14"/>
        </w:numPr>
      </w:pPr>
      <w:r w:rsidRPr="00526D86">
        <w:t>The FRAA</w:t>
      </w:r>
      <w:r w:rsidR="00EF40B0">
        <w:t>’</w:t>
      </w:r>
      <w:r w:rsidRPr="00526D86">
        <w:t>s assessment has been guided by ASIC</w:t>
      </w:r>
      <w:r w:rsidR="00EF40B0">
        <w:t>’</w:t>
      </w:r>
      <w:r w:rsidRPr="00526D86">
        <w:t>s statutory objectives and responsibilities, the Government</w:t>
      </w:r>
      <w:r w:rsidR="00EF40B0">
        <w:t>’</w:t>
      </w:r>
      <w:r w:rsidRPr="00526D86">
        <w:t>s Statement of Expectations and ASIC</w:t>
      </w:r>
      <w:r w:rsidR="00EF40B0">
        <w:t>’</w:t>
      </w:r>
      <w:r w:rsidRPr="00526D86">
        <w:t>s Statement of Intent and Corporate Plan</w:t>
      </w:r>
      <w:r w:rsidR="00F82C39">
        <w:t>.</w:t>
      </w:r>
      <w:r>
        <w:t xml:space="preserve"> T</w:t>
      </w:r>
      <w:r w:rsidRPr="00526D86">
        <w:t>he FRAA</w:t>
      </w:r>
      <w:r w:rsidR="00EF40B0">
        <w:t>’</w:t>
      </w:r>
      <w:r w:rsidRPr="00526D86">
        <w:t>s approach has been informed by the following considerations:</w:t>
      </w:r>
    </w:p>
    <w:p w14:paraId="12E9A8DF" w14:textId="5D861AAB" w:rsidR="00F82C39" w:rsidRPr="00526D86" w:rsidRDefault="00F82C39" w:rsidP="00AC2839">
      <w:pPr>
        <w:pStyle w:val="Bullet"/>
      </w:pPr>
      <w:r w:rsidRPr="00526D86">
        <w:t xml:space="preserve">the importance of </w:t>
      </w:r>
      <w:r>
        <w:t xml:space="preserve">engagement </w:t>
      </w:r>
      <w:r w:rsidRPr="00526D86">
        <w:t>with ASIC</w:t>
      </w:r>
    </w:p>
    <w:p w14:paraId="29002524" w14:textId="3DC6CFA4" w:rsidR="00DA3518" w:rsidRPr="00526D86" w:rsidRDefault="0D21CCF0" w:rsidP="00AC2839">
      <w:pPr>
        <w:pStyle w:val="Bullet"/>
      </w:pPr>
      <w:r w:rsidRPr="00526D86">
        <w:t xml:space="preserve">the need to consult broadly </w:t>
      </w:r>
      <w:r w:rsidRPr="00AC2839">
        <w:t>with</w:t>
      </w:r>
      <w:r w:rsidRPr="00526D86">
        <w:t xml:space="preserve"> a range of stakeholders to arrive at an evidence</w:t>
      </w:r>
      <w:r w:rsidR="00EF40B0">
        <w:noBreakHyphen/>
      </w:r>
      <w:r w:rsidRPr="00526D86">
        <w:t>based assessment</w:t>
      </w:r>
    </w:p>
    <w:p w14:paraId="059D9D6A" w14:textId="77777777" w:rsidR="00DA3518" w:rsidRPr="004C736D" w:rsidRDefault="00DA3518" w:rsidP="00AC2839">
      <w:pPr>
        <w:pStyle w:val="Bullet"/>
      </w:pPr>
      <w:r w:rsidRPr="004C736D">
        <w:lastRenderedPageBreak/>
        <w:t>the desirability of creating an approach that is replicable across subsequent reviews to arrive over</w:t>
      </w:r>
      <w:r>
        <w:t xml:space="preserve"> </w:t>
      </w:r>
      <w:r w:rsidRPr="004C736D">
        <w:t xml:space="preserve">time at </w:t>
      </w:r>
      <w:r w:rsidRPr="00AC2839">
        <w:t>transparent</w:t>
      </w:r>
      <w:r w:rsidRPr="004C7230">
        <w:t xml:space="preserve"> measures.</w:t>
      </w:r>
    </w:p>
    <w:p w14:paraId="0AAC9BFD" w14:textId="2C2C613F" w:rsidR="00F82C39" w:rsidRPr="00E55B23" w:rsidRDefault="00DA3518" w:rsidP="00975036">
      <w:pPr>
        <w:pStyle w:val="numberedtext"/>
        <w:numPr>
          <w:ilvl w:val="1"/>
          <w:numId w:val="14"/>
        </w:numPr>
      </w:pPr>
      <w:r w:rsidRPr="00B97C1F">
        <w:t xml:space="preserve">Each review </w:t>
      </w:r>
      <w:r>
        <w:t xml:space="preserve">of ASIC </w:t>
      </w:r>
      <w:r w:rsidRPr="00B97C1F">
        <w:t>conducted by the FRAA will assess a set of regulatory functions and operations so that over consecutive reviews the breadth of ASIC</w:t>
      </w:r>
      <w:r w:rsidR="00EF40B0">
        <w:t>’</w:t>
      </w:r>
      <w:r w:rsidRPr="00B97C1F">
        <w:t xml:space="preserve">s activities will be assessed. This approach will enable the FRAA to undertake meaningful assessments of each function and provide sufficient opportunities for ASIC to </w:t>
      </w:r>
      <w:r w:rsidR="00E418EC" w:rsidRPr="00B97C1F">
        <w:t>act</w:t>
      </w:r>
      <w:r w:rsidRPr="00B97C1F">
        <w:t xml:space="preserve"> i</w:t>
      </w:r>
      <w:r>
        <w:t>n</w:t>
      </w:r>
      <w:r w:rsidRPr="00B97C1F">
        <w:t xml:space="preserve"> response.</w:t>
      </w:r>
      <w:r>
        <w:t xml:space="preserve"> </w:t>
      </w:r>
      <w:r w:rsidRPr="00E55B23">
        <w:t>The FRAA has divided ASIC</w:t>
      </w:r>
      <w:r w:rsidR="00EF40B0">
        <w:t>’</w:t>
      </w:r>
      <w:r w:rsidRPr="00E55B23">
        <w:t>s regulatory and operational activities into a number of modules, recognising that the activities of ASIC are not readily divisible into discrete functions. For example, ASIC</w:t>
      </w:r>
      <w:r w:rsidR="00EF40B0">
        <w:t>’</w:t>
      </w:r>
      <w:r w:rsidRPr="00E55B23">
        <w:t xml:space="preserve">s licensing, surveillance and enforcement activities are interrelated. </w:t>
      </w:r>
    </w:p>
    <w:p w14:paraId="1AE90065" w14:textId="2B9C1604" w:rsidR="00AA62E2" w:rsidRDefault="00A6032A" w:rsidP="00975036">
      <w:pPr>
        <w:pStyle w:val="numberedtext"/>
        <w:numPr>
          <w:ilvl w:val="1"/>
          <w:numId w:val="14"/>
        </w:numPr>
      </w:pPr>
      <w:r w:rsidRPr="00617F30">
        <w:t xml:space="preserve">Figure </w:t>
      </w:r>
      <w:r>
        <w:rPr>
          <w:iCs/>
        </w:rPr>
        <w:t>1.2</w:t>
      </w:r>
      <w:r w:rsidR="001862F2">
        <w:t xml:space="preserve"> </w:t>
      </w:r>
      <w:r w:rsidR="00AA62E2" w:rsidRPr="00E55B23">
        <w:t xml:space="preserve">depicts the </w:t>
      </w:r>
      <w:r w:rsidR="00AA62E2">
        <w:t>budget</w:t>
      </w:r>
      <w:r w:rsidR="00221F06">
        <w:t xml:space="preserve"> and staff</w:t>
      </w:r>
      <w:r w:rsidR="00AA62E2">
        <w:t xml:space="preserve"> allocated to each of </w:t>
      </w:r>
      <w:r w:rsidR="00AA62E2" w:rsidRPr="00E55B23">
        <w:t>ASIC</w:t>
      </w:r>
      <w:r w:rsidR="00EF40B0">
        <w:t>’</w:t>
      </w:r>
      <w:r w:rsidR="00AA62E2" w:rsidRPr="00E55B23">
        <w:t xml:space="preserve">s </w:t>
      </w:r>
      <w:r w:rsidR="00AA62E2" w:rsidRPr="457321EB">
        <w:t xml:space="preserve">key </w:t>
      </w:r>
      <w:r w:rsidR="00AA62E2" w:rsidRPr="00E55B23">
        <w:t xml:space="preserve">regulatory and operational </w:t>
      </w:r>
      <w:r w:rsidR="00221F06">
        <w:t>teams</w:t>
      </w:r>
      <w:r w:rsidR="00EF40B0">
        <w:t>’</w:t>
      </w:r>
      <w:r w:rsidR="00221F06">
        <w:t xml:space="preserve"> </w:t>
      </w:r>
      <w:r w:rsidR="00AA62E2" w:rsidRPr="00E55B23">
        <w:t xml:space="preserve">activities </w:t>
      </w:r>
      <w:r w:rsidR="00AA62E2">
        <w:t>as a percentage of</w:t>
      </w:r>
      <w:r w:rsidR="00AA62E2" w:rsidRPr="457321EB">
        <w:t xml:space="preserve"> ASIC</w:t>
      </w:r>
      <w:r w:rsidR="00EF40B0">
        <w:t>’</w:t>
      </w:r>
      <w:r w:rsidR="00AA62E2" w:rsidRPr="457321EB">
        <w:t>s overall funding</w:t>
      </w:r>
      <w:r w:rsidR="00AA62E2">
        <w:t xml:space="preserve">. </w:t>
      </w:r>
      <w:r w:rsidR="00AA62E2" w:rsidRPr="457321EB">
        <w:t xml:space="preserve">ASIC </w:t>
      </w:r>
      <w:r w:rsidR="00025EC5">
        <w:t>allocate</w:t>
      </w:r>
      <w:r w:rsidR="00025EC5" w:rsidRPr="457321EB">
        <w:t xml:space="preserve">s </w:t>
      </w:r>
      <w:r w:rsidR="00AA62E2" w:rsidRPr="457321EB">
        <w:t>2</w:t>
      </w:r>
      <w:r w:rsidR="00AA62E2">
        <w:t>2</w:t>
      </w:r>
      <w:r w:rsidR="00AA62E2" w:rsidRPr="457321EB">
        <w:t>%</w:t>
      </w:r>
      <w:r w:rsidR="00AA62E2" w:rsidRPr="00E55B23">
        <w:t xml:space="preserve"> </w:t>
      </w:r>
      <w:r w:rsidR="00AA62E2" w:rsidRPr="00E55B23" w:rsidDel="00833E9C">
        <w:t xml:space="preserve">of </w:t>
      </w:r>
      <w:r w:rsidR="00AA62E2" w:rsidRPr="457321EB">
        <w:t>its budget</w:t>
      </w:r>
      <w:r w:rsidR="00025EC5">
        <w:t xml:space="preserve"> to its</w:t>
      </w:r>
      <w:r w:rsidR="00AA62E2">
        <w:t xml:space="preserve"> </w:t>
      </w:r>
      <w:r w:rsidR="00AA62E2" w:rsidRPr="457321EB">
        <w:t xml:space="preserve">licensing and surveillance </w:t>
      </w:r>
      <w:r w:rsidR="00506C06">
        <w:t>teams</w:t>
      </w:r>
      <w:r w:rsidR="00025EC5">
        <w:t>, a portion of which is spen</w:t>
      </w:r>
      <w:r w:rsidR="00352B8A">
        <w:t>t</w:t>
      </w:r>
      <w:r w:rsidR="00025EC5">
        <w:t xml:space="preserve"> on licensing and surveillance activities</w:t>
      </w:r>
      <w:r w:rsidR="00975B0A">
        <w:t>.</w:t>
      </w:r>
      <w:r w:rsidR="00975B0A">
        <w:rPr>
          <w:rStyle w:val="FootnoteReference"/>
        </w:rPr>
        <w:footnoteReference w:id="10"/>
      </w:r>
      <w:r w:rsidR="00975B0A">
        <w:t xml:space="preserve"> The</w:t>
      </w:r>
      <w:r w:rsidR="00025EC5">
        <w:t>se licensing and surveillance activities</w:t>
      </w:r>
      <w:r w:rsidR="00975B0A">
        <w:t xml:space="preserve"> </w:t>
      </w:r>
      <w:r w:rsidR="00AA62E2">
        <w:t xml:space="preserve">are the subject of this </w:t>
      </w:r>
      <w:r w:rsidR="004D4914">
        <w:t>r</w:t>
      </w:r>
      <w:r w:rsidR="00AA62E2">
        <w:t>eview.</w:t>
      </w:r>
    </w:p>
    <w:p w14:paraId="77C0E11B" w14:textId="5EF60CFA" w:rsidR="00AA62E2" w:rsidRPr="00617F30" w:rsidRDefault="00AA62E2" w:rsidP="001655A9">
      <w:pPr>
        <w:pStyle w:val="FigureMainHeading"/>
      </w:pPr>
      <w:bookmarkStart w:id="28" w:name="Figure_1_2"/>
      <w:r w:rsidRPr="00617F30">
        <w:t xml:space="preserve">Figure </w:t>
      </w:r>
      <w:r>
        <w:rPr>
          <w:iCs/>
        </w:rPr>
        <w:t>1.2</w:t>
      </w:r>
      <w:bookmarkEnd w:id="28"/>
      <w:r w:rsidRPr="00617F30">
        <w:t xml:space="preserve">: </w:t>
      </w:r>
      <w:r w:rsidR="004200F2">
        <w:t xml:space="preserve">Budget and staff allocation of </w:t>
      </w:r>
      <w:r w:rsidRPr="00617F30">
        <w:t xml:space="preserve">ASIC regulatory and operational </w:t>
      </w:r>
      <w:r w:rsidR="00BC61AD">
        <w:t>teams</w:t>
      </w:r>
      <w:r w:rsidR="0079136A">
        <w:rPr>
          <w:rStyle w:val="FootnoteReference"/>
          <w:sz w:val="16"/>
          <w:szCs w:val="16"/>
        </w:rPr>
        <w:footnoteReference w:id="11"/>
      </w:r>
    </w:p>
    <w:p w14:paraId="3D88AE69" w14:textId="64714426" w:rsidR="00AA62E2" w:rsidRDefault="00A84086" w:rsidP="004757A7">
      <w:pPr>
        <w:pStyle w:val="ChartGraphic"/>
      </w:pPr>
      <w:r w:rsidRPr="004757A7">
        <w:rPr>
          <w:noProof/>
        </w:rPr>
        <w:drawing>
          <wp:inline distT="0" distB="0" distL="0" distR="0" wp14:anchorId="53AB8FAD" wp14:editId="5FF044C3">
            <wp:extent cx="5532055" cy="2980424"/>
            <wp:effectExtent l="0" t="0" r="0" b="0"/>
            <wp:docPr id="90" name="Picture 90" descr="Figure 1.2 is a pie chart showing the internal budget allocation in 2021-22 for 6 regulatory and operational segments within ASIC and their ASL. The key activities displayed are Strategic Support &amp; Corporate Services (39% of budget ($163.5m); and 725 ASL); Enforcement (33% of budget ($141.2m); and 564 ASL); Surveillance (21% of budget ($87.1m); and 483 ASL); Licensing (1% of budget ($4m); and 30 ASL); Registry Interactions &amp; Services (0.5% of budget ($2.2m); and 17 ASL); and Other (6% budget ($23.8m); and 129 AS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gure 1.2 is a pie chart showing the internal budget allocation in 2021-22 for 6 regulatory and operational segments within ASIC and their ASL. The key activities displayed are Strategic Support &amp; Corporate Services (39% of budget ($163.5m); and 725 ASL); Enforcement (33% of budget ($141.2m); and 564 ASL); Surveillance (21% of budget ($87.1m); and 483 ASL); Licensing (1% of budget ($4m); and 30 ASL); Registry Interactions &amp; Services (0.5% of budget ($2.2m); and 17 ASL); and Other (6% budget ($23.8m); and 129 ASL). "/>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532055" cy="2980424"/>
                    </a:xfrm>
                    <a:prstGeom prst="rect">
                      <a:avLst/>
                    </a:prstGeom>
                    <a:noFill/>
                    <a:ln>
                      <a:noFill/>
                    </a:ln>
                  </pic:spPr>
                </pic:pic>
              </a:graphicData>
            </a:graphic>
          </wp:inline>
        </w:drawing>
      </w:r>
    </w:p>
    <w:p w14:paraId="28618F7A" w14:textId="21C9918B" w:rsidR="00295E4C" w:rsidRPr="00E6411A" w:rsidRDefault="00295E4C" w:rsidP="00295E4C">
      <w:pPr>
        <w:pStyle w:val="Source"/>
      </w:pPr>
      <w:r w:rsidRPr="00E6411A">
        <w:t xml:space="preserve">Source: </w:t>
      </w:r>
      <w:r w:rsidR="00740395">
        <w:t>ASIC</w:t>
      </w:r>
      <w:r w:rsidR="004963A0">
        <w:t>,</w:t>
      </w:r>
      <w:r w:rsidR="00ED4DC5">
        <w:t xml:space="preserve"> </w:t>
      </w:r>
      <w:r w:rsidR="00740395">
        <w:t>Material supplied to this review</w:t>
      </w:r>
      <w:r>
        <w:t>, 2022.</w:t>
      </w:r>
    </w:p>
    <w:p w14:paraId="15963B1B" w14:textId="77777777" w:rsidR="00C467C2" w:rsidRPr="00C467C2" w:rsidRDefault="00C467C2" w:rsidP="00C467C2"/>
    <w:p w14:paraId="3F39C00B" w14:textId="21DCBE8A" w:rsidR="00DA3518" w:rsidRPr="00DA3518" w:rsidRDefault="00DA3518" w:rsidP="001B78E4">
      <w:pPr>
        <w:pStyle w:val="Heading2"/>
      </w:pPr>
      <w:bookmarkStart w:id="29" w:name="_Toc110241811"/>
      <w:r w:rsidRPr="001B78E4">
        <w:rPr>
          <w:rFonts w:eastAsiaTheme="minorHAnsi"/>
        </w:rPr>
        <w:lastRenderedPageBreak/>
        <w:t>Measur</w:t>
      </w:r>
      <w:r w:rsidR="004E514A">
        <w:rPr>
          <w:rFonts w:eastAsiaTheme="minorHAnsi"/>
        </w:rPr>
        <w:t>ing the</w:t>
      </w:r>
      <w:r w:rsidRPr="002B3D8D">
        <w:rPr>
          <w:rFonts w:eastAsiaTheme="minorHAnsi"/>
        </w:rPr>
        <w:t xml:space="preserve"> effectiveness and capability of financial regulators</w:t>
      </w:r>
      <w:bookmarkEnd w:id="29"/>
    </w:p>
    <w:p w14:paraId="258948AE" w14:textId="3D22ADD0" w:rsidR="00DA3518" w:rsidRPr="005C6FA4" w:rsidRDefault="00DA3518" w:rsidP="00975036">
      <w:pPr>
        <w:pStyle w:val="numberedtext"/>
        <w:numPr>
          <w:ilvl w:val="1"/>
          <w:numId w:val="14"/>
        </w:numPr>
      </w:pPr>
      <w:r w:rsidRPr="005C6FA4">
        <w:t xml:space="preserve">Globally, the FRAA is unique in its mandate and the permanent nature of the FRAA provides an opportunity to take a </w:t>
      </w:r>
      <w:r>
        <w:t>medium</w:t>
      </w:r>
      <w:r w:rsidR="00EF40B0">
        <w:noBreakHyphen/>
      </w:r>
      <w:r w:rsidRPr="005C6FA4">
        <w:t>term approach to developing a transparent and consistent framework to measur</w:t>
      </w:r>
      <w:r>
        <w:t>e</w:t>
      </w:r>
      <w:r w:rsidRPr="005C6FA4">
        <w:t xml:space="preserve"> the effectiveness and capability of</w:t>
      </w:r>
      <w:r>
        <w:t xml:space="preserve"> the</w:t>
      </w:r>
      <w:r w:rsidRPr="005C6FA4">
        <w:t xml:space="preserve"> </w:t>
      </w:r>
      <w:r w:rsidR="0074118C">
        <w:t>r</w:t>
      </w:r>
      <w:r w:rsidRPr="005C6FA4">
        <w:t>egulators</w:t>
      </w:r>
      <w:r w:rsidR="001A1CBE">
        <w:t xml:space="preserve">. </w:t>
      </w:r>
    </w:p>
    <w:p w14:paraId="1EB5F728" w14:textId="2FC2477B" w:rsidR="00DA3518" w:rsidRDefault="00DA3518" w:rsidP="00975036">
      <w:pPr>
        <w:pStyle w:val="numberedtext"/>
        <w:numPr>
          <w:ilvl w:val="1"/>
          <w:numId w:val="14"/>
        </w:numPr>
      </w:pPr>
      <w:r>
        <w:t xml:space="preserve">There are no settled metrics to assess regulatory effectiveness and capability and there </w:t>
      </w:r>
      <w:r w:rsidRPr="0B725E9C">
        <w:t xml:space="preserve">are substantial complexities </w:t>
      </w:r>
      <w:r w:rsidRPr="6C7B0591">
        <w:t>in</w:t>
      </w:r>
      <w:r>
        <w:t xml:space="preserve"> </w:t>
      </w:r>
      <w:r w:rsidRPr="4578C1D8">
        <w:t xml:space="preserve">comparing </w:t>
      </w:r>
      <w:r>
        <w:t>regulators</w:t>
      </w:r>
      <w:r w:rsidR="00F82C39">
        <w:t xml:space="preserve">. </w:t>
      </w:r>
      <w:r w:rsidR="00F82C39" w:rsidRPr="00962595">
        <w:t xml:space="preserve">The lack of globally accepted metrics </w:t>
      </w:r>
      <w:r w:rsidR="00AA62E2">
        <w:t>reflects</w:t>
      </w:r>
      <w:r w:rsidR="00F82C39" w:rsidRPr="00962595">
        <w:t xml:space="preserve"> the difficulty of the task. </w:t>
      </w:r>
      <w:r w:rsidR="00F82C39">
        <w:t>T</w:t>
      </w:r>
      <w:r w:rsidR="00F82C39" w:rsidRPr="00962595">
        <w:t>hat said</w:t>
      </w:r>
      <w:r w:rsidR="00F82C39">
        <w:t>,</w:t>
      </w:r>
      <w:r w:rsidR="00F82C39" w:rsidRPr="00962595">
        <w:t xml:space="preserve"> individual metrics can assist in the ongoing management of a </w:t>
      </w:r>
      <w:r w:rsidR="00AA62E2">
        <w:t>r</w:t>
      </w:r>
      <w:r w:rsidR="00AA62E2" w:rsidRPr="457321EB">
        <w:t>egulator</w:t>
      </w:r>
      <w:r w:rsidR="00F82C39" w:rsidRPr="00962595">
        <w:t xml:space="preserve"> and help senior management with the difficult trade</w:t>
      </w:r>
      <w:r w:rsidR="00EF40B0">
        <w:noBreakHyphen/>
      </w:r>
      <w:r w:rsidR="00F82C39" w:rsidRPr="00962595">
        <w:t xml:space="preserve">offs that </w:t>
      </w:r>
      <w:r w:rsidR="00F82C39">
        <w:t>are</w:t>
      </w:r>
      <w:r w:rsidR="00F82C39" w:rsidRPr="00962595">
        <w:t xml:space="preserve"> a central part of their role.</w:t>
      </w:r>
    </w:p>
    <w:p w14:paraId="45D778FF" w14:textId="347F95E6" w:rsidR="00DA3518" w:rsidRDefault="00DA3518" w:rsidP="00975036">
      <w:pPr>
        <w:pStyle w:val="numberedtext"/>
        <w:numPr>
          <w:ilvl w:val="1"/>
          <w:numId w:val="14"/>
        </w:numPr>
      </w:pPr>
      <w:r>
        <w:t>The FRAA considers it important that alongside more qualitative forms of assessment through stakeholder submissions, interviews, case studies and surveys, assessments by the FRAA can come to rely on more enduring metrics to measure effectiveness and capability over time</w:t>
      </w:r>
      <w:r w:rsidR="001A1CBE">
        <w:t xml:space="preserve">. </w:t>
      </w:r>
    </w:p>
    <w:p w14:paraId="7649A2B4" w14:textId="77777777" w:rsidR="00DA3518" w:rsidRPr="002C77B6" w:rsidRDefault="00DA3518" w:rsidP="004A147B">
      <w:pPr>
        <w:pStyle w:val="Heading3"/>
      </w:pPr>
      <w:bookmarkStart w:id="30" w:name="_Toc108786412"/>
      <w:r w:rsidRPr="00105AC7">
        <w:rPr>
          <w:rFonts w:eastAsiaTheme="majorEastAsia"/>
        </w:rPr>
        <w:t>Developing a framework of indicators and metrics to measure effectiveness and capability</w:t>
      </w:r>
      <w:bookmarkEnd w:id="30"/>
    </w:p>
    <w:p w14:paraId="01F3CBF4" w14:textId="4FD67A0C" w:rsidR="00DA3518" w:rsidRPr="00342E67" w:rsidRDefault="00DA3518" w:rsidP="00975036">
      <w:pPr>
        <w:pStyle w:val="numberedtext"/>
        <w:numPr>
          <w:ilvl w:val="1"/>
          <w:numId w:val="14"/>
        </w:numPr>
      </w:pPr>
      <w:r>
        <w:t>T</w:t>
      </w:r>
      <w:r w:rsidRPr="004E368A">
        <w:t>here are several frameworks for the measurement of regulatory and financial system performance from international bodies such as the Organisation for Economic Co</w:t>
      </w:r>
      <w:r w:rsidR="00EF40B0">
        <w:noBreakHyphen/>
      </w:r>
      <w:r w:rsidRPr="004E368A">
        <w:t>operation and Development (OECD), the International Monetary Fund (IMF) and the Basel Committee o</w:t>
      </w:r>
      <w:r w:rsidR="00B708D2">
        <w:t>n</w:t>
      </w:r>
      <w:r w:rsidRPr="004E368A">
        <w:t xml:space="preserve"> Banking Supervision</w:t>
      </w:r>
      <w:r>
        <w:t>. However,</w:t>
      </w:r>
      <w:r w:rsidRPr="004E368A">
        <w:t xml:space="preserve"> these </w:t>
      </w:r>
      <w:r>
        <w:t>frameworks do not</w:t>
      </w:r>
      <w:r w:rsidR="00380944">
        <w:t xml:space="preserve"> provide a clear basis for assessing</w:t>
      </w:r>
      <w:r>
        <w:t xml:space="preserve"> </w:t>
      </w:r>
      <w:r w:rsidRPr="004E368A">
        <w:t xml:space="preserve">the effectiveness or capability </w:t>
      </w:r>
      <w:r w:rsidR="00622B60">
        <w:t>of regulators</w:t>
      </w:r>
      <w:r w:rsidRPr="004E368A">
        <w:t xml:space="preserve">. </w:t>
      </w:r>
      <w:r w:rsidR="00AA62E2">
        <w:t xml:space="preserve">See </w:t>
      </w:r>
      <w:r w:rsidR="00A6032A" w:rsidRPr="002E2968">
        <w:t xml:space="preserve">Appendix </w:t>
      </w:r>
      <w:r w:rsidR="00A6032A">
        <w:t>B</w:t>
      </w:r>
      <w:r w:rsidR="00A6032A" w:rsidRPr="002E2968">
        <w:t xml:space="preserve">: </w:t>
      </w:r>
      <w:r w:rsidR="00A6032A">
        <w:t>Examples of international frameworks for measuring performance</w:t>
      </w:r>
      <w:r>
        <w:t xml:space="preserve"> for examples of international frameworks.</w:t>
      </w:r>
    </w:p>
    <w:p w14:paraId="00E40D29" w14:textId="54AE68CC" w:rsidR="00DA3518" w:rsidRDefault="00DA3518" w:rsidP="00975036">
      <w:pPr>
        <w:pStyle w:val="numberedtext"/>
        <w:numPr>
          <w:ilvl w:val="1"/>
          <w:numId w:val="14"/>
        </w:numPr>
      </w:pPr>
      <w:r>
        <w:t xml:space="preserve">The FRAA intends to work with the </w:t>
      </w:r>
      <w:r w:rsidR="00652618">
        <w:t>r</w:t>
      </w:r>
      <w:r>
        <w:t xml:space="preserve">egulators and broader stakeholders, including academics, international regulators and international bodies such as the IMF, OECD and </w:t>
      </w:r>
      <w:r w:rsidR="00051429">
        <w:t>International Organization of Securities Commissions (</w:t>
      </w:r>
      <w:r>
        <w:t>IOSCO</w:t>
      </w:r>
      <w:r w:rsidR="00051429">
        <w:t>)</w:t>
      </w:r>
      <w:r>
        <w:t xml:space="preserve"> to develop metrics for measuring </w:t>
      </w:r>
      <w:r w:rsidR="00F82C39">
        <w:t xml:space="preserve">the effectiveness and capability of the </w:t>
      </w:r>
      <w:r w:rsidR="00652618">
        <w:t>r</w:t>
      </w:r>
      <w:r w:rsidR="00F82C39">
        <w:t>egulators.</w:t>
      </w:r>
      <w:r w:rsidR="00F82C39">
        <w:rPr>
          <w:rStyle w:val="FootnoteReference"/>
          <w:sz w:val="22"/>
        </w:rPr>
        <w:footnoteReference w:id="12"/>
      </w:r>
      <w:r>
        <w:t xml:space="preserve">  </w:t>
      </w:r>
    </w:p>
    <w:tbl>
      <w:tblPr>
        <w:tblStyle w:val="TableGrid"/>
        <w:tblW w:w="0" w:type="auto"/>
        <w:tblInd w:w="567" w:type="dxa"/>
        <w:tblCellMar>
          <w:top w:w="170" w:type="dxa"/>
          <w:left w:w="170" w:type="dxa"/>
          <w:bottom w:w="170" w:type="dxa"/>
          <w:right w:w="170" w:type="dxa"/>
        </w:tblCellMar>
        <w:tblLook w:val="04A0" w:firstRow="1" w:lastRow="0" w:firstColumn="1" w:lastColumn="0" w:noHBand="0" w:noVBand="1"/>
      </w:tblPr>
      <w:tblGrid>
        <w:gridCol w:w="8415"/>
      </w:tblGrid>
      <w:tr w:rsidR="00AA62E2" w:rsidRPr="004348DE" w14:paraId="342EF52F" w14:textId="77777777" w:rsidTr="001B78E4">
        <w:tc>
          <w:tcPr>
            <w:tcW w:w="8415" w:type="dxa"/>
            <w:shd w:val="clear" w:color="auto" w:fill="EAEAEA" w:themeFill="background2"/>
          </w:tcPr>
          <w:p w14:paraId="47D9963E" w14:textId="77777777" w:rsidR="00AA62E2" w:rsidRPr="009F53C5" w:rsidRDefault="00AA62E2" w:rsidP="001B78E4">
            <w:pPr>
              <w:pStyle w:val="BoxHeading"/>
            </w:pPr>
            <w:bookmarkStart w:id="31" w:name="Box_1_1"/>
            <w:r w:rsidRPr="009F53C5">
              <w:t>Box 1.</w:t>
            </w:r>
            <w:r w:rsidRPr="009F53C5">
              <w:rPr>
                <w:bCs/>
              </w:rPr>
              <w:t>1</w:t>
            </w:r>
            <w:bookmarkEnd w:id="31"/>
            <w:r>
              <w:rPr>
                <w:bCs/>
              </w:rPr>
              <w:t xml:space="preserve">: </w:t>
            </w:r>
            <w:r w:rsidRPr="001B78E4">
              <w:t>Mandate</w:t>
            </w:r>
            <w:r w:rsidRPr="009F53C5">
              <w:t xml:space="preserve"> for ASIC</w:t>
            </w:r>
          </w:p>
          <w:p w14:paraId="0165A9C7" w14:textId="5104A5C0" w:rsidR="00AA62E2" w:rsidRPr="009F53C5" w:rsidRDefault="00AA62E2" w:rsidP="0079136A">
            <w:pPr>
              <w:pStyle w:val="BoxText"/>
            </w:pPr>
            <w:r w:rsidRPr="009F53C5">
              <w:t>ASIC</w:t>
            </w:r>
            <w:r w:rsidR="00EF40B0">
              <w:t>’</w:t>
            </w:r>
            <w:r w:rsidRPr="009F53C5">
              <w:t xml:space="preserve">s mandate, as the conduct regulator, is broad. It </w:t>
            </w:r>
            <w:r w:rsidR="00BE5801">
              <w:t>is responsible for the regulation of</w:t>
            </w:r>
            <w:r w:rsidRPr="009F53C5">
              <w:t xml:space="preserve"> Australian companies, financial markets, financial services organisations, professionals who deal and advise in investments, superannuation, insurance, deposit taking and credit. ASIC</w:t>
            </w:r>
            <w:r w:rsidR="00EF40B0">
              <w:t>’</w:t>
            </w:r>
            <w:r w:rsidRPr="009F53C5">
              <w:t xml:space="preserve">s </w:t>
            </w:r>
            <w:r w:rsidR="00BE5801">
              <w:t>objectives are</w:t>
            </w:r>
            <w:r w:rsidRPr="009F53C5">
              <w:t xml:space="preserve"> to maintain, facilitate and improve the performance of the financial system and entities in it; promote confident and informed participation by investors and consumers in the financial system; administer the law effectively and with minimal procedural requirements; receive, process and store, efficiently and quickly, information it receives; make information about companies and other bodies available to the public as soon as practicable; and take the action necessary to enforce and give effect to the law. See </w:t>
            </w:r>
            <w:r w:rsidR="00A6032A" w:rsidRPr="00E474CC">
              <w:t>Chapter 2: ASIC</w:t>
            </w:r>
            <w:r w:rsidR="00A6032A">
              <w:t>’</w:t>
            </w:r>
            <w:r w:rsidR="00A6032A" w:rsidRPr="00E474CC">
              <w:t>s role in the Australian financial system</w:t>
            </w:r>
            <w:r w:rsidRPr="009F53C5">
              <w:t xml:space="preserve"> for more information on ASIC</w:t>
            </w:r>
            <w:r w:rsidR="00EF40B0">
              <w:t>’</w:t>
            </w:r>
            <w:r w:rsidRPr="009F53C5">
              <w:t>s mandate.</w:t>
            </w:r>
          </w:p>
        </w:tc>
      </w:tr>
    </w:tbl>
    <w:p w14:paraId="0880E744" w14:textId="77777777" w:rsidR="00DA3518" w:rsidRPr="0053275B" w:rsidRDefault="00DA3518" w:rsidP="00975036">
      <w:pPr>
        <w:pStyle w:val="numberedtext"/>
        <w:numPr>
          <w:ilvl w:val="1"/>
          <w:numId w:val="14"/>
        </w:numPr>
      </w:pPr>
      <w:bookmarkStart w:id="32" w:name="_Ref110262486"/>
      <w:r w:rsidRPr="0053275B">
        <w:t>ASIC currently report</w:t>
      </w:r>
      <w:r>
        <w:t>s on its performance</w:t>
      </w:r>
      <w:r w:rsidRPr="0053275B">
        <w:t xml:space="preserve"> through a range of publications such as </w:t>
      </w:r>
      <w:r w:rsidR="00AA62E2">
        <w:t>its</w:t>
      </w:r>
      <w:r w:rsidR="00AA62E2" w:rsidRPr="0053275B">
        <w:t xml:space="preserve"> </w:t>
      </w:r>
      <w:r w:rsidR="00AA62E2">
        <w:t>A</w:t>
      </w:r>
      <w:r w:rsidR="00AA62E2" w:rsidRPr="0053275B">
        <w:t xml:space="preserve">nnual </w:t>
      </w:r>
      <w:r w:rsidR="00AA62E2">
        <w:t>R</w:t>
      </w:r>
      <w:r w:rsidR="00AA62E2" w:rsidRPr="0053275B">
        <w:t xml:space="preserve">eport and </w:t>
      </w:r>
      <w:r w:rsidR="00AA62E2">
        <w:t>C</w:t>
      </w:r>
      <w:r w:rsidR="00AA62E2" w:rsidRPr="0053275B">
        <w:t xml:space="preserve">orporate </w:t>
      </w:r>
      <w:r w:rsidR="00AA62E2">
        <w:t>P</w:t>
      </w:r>
      <w:r w:rsidR="00AA62E2" w:rsidRPr="0053275B">
        <w:t>lan.</w:t>
      </w:r>
      <w:bookmarkEnd w:id="32"/>
      <w:r w:rsidRPr="0053275B">
        <w:t xml:space="preserve"> </w:t>
      </w:r>
    </w:p>
    <w:p w14:paraId="5434DCDA" w14:textId="4D68DE06" w:rsidR="00DA3518" w:rsidRPr="00487FEB" w:rsidRDefault="00DA3518" w:rsidP="00975036">
      <w:pPr>
        <w:pStyle w:val="numberedtext"/>
        <w:numPr>
          <w:ilvl w:val="1"/>
          <w:numId w:val="14"/>
        </w:numPr>
      </w:pPr>
      <w:r>
        <w:t>Most reported</w:t>
      </w:r>
      <w:r w:rsidRPr="0053275B">
        <w:t xml:space="preserve"> </w:t>
      </w:r>
      <w:r>
        <w:t>metrics focus</w:t>
      </w:r>
      <w:r w:rsidRPr="0053275B">
        <w:t xml:space="preserve"> on the regulatory activities undertaken and the resources available to undertake these activities – that is, measurements of regulatory</w:t>
      </w:r>
      <w:r>
        <w:t xml:space="preserve"> outputs</w:t>
      </w:r>
      <w:r w:rsidRPr="0053275B">
        <w:t xml:space="preserve">. For </w:t>
      </w:r>
      <w:r w:rsidRPr="0053275B">
        <w:lastRenderedPageBreak/>
        <w:t>example, ASIC currently report</w:t>
      </w:r>
      <w:r>
        <w:t>s on its regulatory activities by reference to a suite of metrics</w:t>
      </w:r>
      <w:r w:rsidRPr="0053275B">
        <w:t xml:space="preserve">. </w:t>
      </w:r>
      <w:r>
        <w:t xml:space="preserve">This is illustrated in </w:t>
      </w:r>
      <w:r w:rsidR="00A6032A" w:rsidRPr="001B78E4">
        <w:t>Box 1.2</w:t>
      </w:r>
      <w:r>
        <w:t>.</w:t>
      </w:r>
    </w:p>
    <w:tbl>
      <w:tblPr>
        <w:tblStyle w:val="TableGrid"/>
        <w:tblW w:w="4688" w:type="pct"/>
        <w:tblInd w:w="562" w:type="dxa"/>
        <w:tblCellMar>
          <w:top w:w="170" w:type="dxa"/>
          <w:left w:w="170" w:type="dxa"/>
          <w:bottom w:w="170" w:type="dxa"/>
          <w:right w:w="170" w:type="dxa"/>
        </w:tblCellMar>
        <w:tblLook w:val="04A0" w:firstRow="1" w:lastRow="0" w:firstColumn="1" w:lastColumn="0" w:noHBand="0" w:noVBand="1"/>
      </w:tblPr>
      <w:tblGrid>
        <w:gridCol w:w="8506"/>
      </w:tblGrid>
      <w:tr w:rsidR="00AA62E2" w14:paraId="4A278CF9" w14:textId="77777777" w:rsidTr="001B78E4">
        <w:trPr>
          <w:trHeight w:val="951"/>
        </w:trPr>
        <w:tc>
          <w:tcPr>
            <w:tcW w:w="5000" w:type="pct"/>
            <w:shd w:val="clear" w:color="auto" w:fill="EAEAEA" w:themeFill="background2"/>
            <w:hideMark/>
          </w:tcPr>
          <w:p w14:paraId="0B0981C9" w14:textId="77777777" w:rsidR="00AA62E2" w:rsidRPr="001B78E4" w:rsidRDefault="00AA62E2" w:rsidP="001B78E4">
            <w:pPr>
              <w:pStyle w:val="BoxHeading"/>
            </w:pPr>
            <w:bookmarkStart w:id="33" w:name="Box_1_2"/>
            <w:r w:rsidRPr="001B78E4">
              <w:t>Box 1.2</w:t>
            </w:r>
            <w:bookmarkEnd w:id="33"/>
            <w:r w:rsidRPr="001B78E4">
              <w:t>: Output metrics for ASIC</w:t>
            </w:r>
          </w:p>
          <w:p w14:paraId="06C4AB14" w14:textId="77777777" w:rsidR="00AA62E2" w:rsidRPr="0022756E" w:rsidRDefault="00AA62E2" w:rsidP="0079136A">
            <w:pPr>
              <w:pStyle w:val="BoxBullet"/>
            </w:pPr>
            <w:r w:rsidRPr="0022756E">
              <w:t>Number of licences granted or varied</w:t>
            </w:r>
          </w:p>
          <w:p w14:paraId="41E3D470" w14:textId="77777777" w:rsidR="00AA62E2" w:rsidRPr="0022756E" w:rsidRDefault="00AA62E2" w:rsidP="0079136A">
            <w:pPr>
              <w:pStyle w:val="BoxBullet"/>
            </w:pPr>
            <w:r w:rsidRPr="0022756E">
              <w:t xml:space="preserve">Time taken to grant licences </w:t>
            </w:r>
          </w:p>
          <w:p w14:paraId="5C59B30A" w14:textId="77777777" w:rsidR="00AA62E2" w:rsidRPr="0022756E" w:rsidRDefault="00AA62E2" w:rsidP="0079136A">
            <w:pPr>
              <w:pStyle w:val="BoxBullet"/>
            </w:pPr>
            <w:r w:rsidRPr="0022756E">
              <w:t>Number of policy/guidance documents issued</w:t>
            </w:r>
          </w:p>
          <w:p w14:paraId="7836651D" w14:textId="77777777" w:rsidR="00AA62E2" w:rsidRPr="0022756E" w:rsidRDefault="00AA62E2" w:rsidP="0079136A">
            <w:pPr>
              <w:pStyle w:val="BoxBullet"/>
            </w:pPr>
            <w:r w:rsidRPr="0022756E">
              <w:t>Number of regulatory relief decisions</w:t>
            </w:r>
          </w:p>
          <w:p w14:paraId="59D20B9C" w14:textId="77777777" w:rsidR="00AA62E2" w:rsidRPr="0022756E" w:rsidRDefault="00AA62E2" w:rsidP="0079136A">
            <w:pPr>
              <w:pStyle w:val="BoxBullet"/>
            </w:pPr>
            <w:r w:rsidRPr="0022756E">
              <w:t>Surveillances completed</w:t>
            </w:r>
          </w:p>
          <w:p w14:paraId="6A144619" w14:textId="77777777" w:rsidR="00AA62E2" w:rsidRPr="0022756E" w:rsidRDefault="00AA62E2" w:rsidP="0079136A">
            <w:pPr>
              <w:pStyle w:val="BoxBullet"/>
            </w:pPr>
            <w:r w:rsidRPr="0022756E">
              <w:t>Number of thematic reviews</w:t>
            </w:r>
          </w:p>
          <w:p w14:paraId="26D21289" w14:textId="77777777" w:rsidR="00AA62E2" w:rsidRPr="0022756E" w:rsidRDefault="00AA62E2" w:rsidP="0079136A">
            <w:pPr>
              <w:pStyle w:val="BoxBullet"/>
            </w:pPr>
            <w:r w:rsidRPr="0022756E">
              <w:t>Number of programmatic reviews</w:t>
            </w:r>
          </w:p>
          <w:p w14:paraId="641DE95C" w14:textId="77777777" w:rsidR="00AA62E2" w:rsidRPr="0022756E" w:rsidRDefault="00AA62E2" w:rsidP="0079136A">
            <w:pPr>
              <w:pStyle w:val="BoxBullet"/>
            </w:pPr>
            <w:r w:rsidRPr="0022756E">
              <w:t>Number of surveillances of entities or individuals</w:t>
            </w:r>
          </w:p>
          <w:p w14:paraId="6A8E5539" w14:textId="77777777" w:rsidR="00AA62E2" w:rsidRPr="0022756E" w:rsidRDefault="00AA62E2" w:rsidP="0079136A">
            <w:pPr>
              <w:pStyle w:val="BoxBullet"/>
            </w:pPr>
            <w:r w:rsidRPr="0022756E">
              <w:t>Investigations completed</w:t>
            </w:r>
          </w:p>
          <w:p w14:paraId="71684DA3" w14:textId="77777777" w:rsidR="00AA62E2" w:rsidRPr="0022756E" w:rsidRDefault="00AA62E2" w:rsidP="0079136A">
            <w:pPr>
              <w:pStyle w:val="BoxBullet"/>
            </w:pPr>
            <w:r w:rsidRPr="0022756E">
              <w:t xml:space="preserve">Number </w:t>
            </w:r>
            <w:r>
              <w:t>of</w:t>
            </w:r>
            <w:r w:rsidRPr="0022756E">
              <w:t xml:space="preserve"> enforcement actions</w:t>
            </w:r>
          </w:p>
          <w:p w14:paraId="49774F90" w14:textId="77777777" w:rsidR="00AA62E2" w:rsidRPr="0022756E" w:rsidRDefault="00AA62E2" w:rsidP="0079136A">
            <w:pPr>
              <w:pStyle w:val="BoxBullet"/>
            </w:pPr>
            <w:r w:rsidRPr="0022756E">
              <w:t>Quantum of enforcement penalties</w:t>
            </w:r>
          </w:p>
          <w:p w14:paraId="01343024" w14:textId="77777777" w:rsidR="00AA62E2" w:rsidRPr="0022756E" w:rsidRDefault="00AA62E2" w:rsidP="0079136A">
            <w:pPr>
              <w:pStyle w:val="BoxText"/>
              <w:rPr>
                <w:color w:val="000000"/>
                <w:sz w:val="16"/>
                <w:szCs w:val="16"/>
              </w:rPr>
            </w:pPr>
            <w:r w:rsidRPr="0022756E">
              <w:t>Note that ASIC currently reports a wide suite of outputs.</w:t>
            </w:r>
            <w:r>
              <w:rPr>
                <w:rStyle w:val="FootnoteReference"/>
                <w:rFonts w:cstheme="minorHAnsi"/>
                <w:sz w:val="22"/>
              </w:rPr>
              <w:footnoteReference w:id="13"/>
            </w:r>
            <w:r w:rsidRPr="0022756E">
              <w:t xml:space="preserve"> </w:t>
            </w:r>
          </w:p>
        </w:tc>
      </w:tr>
    </w:tbl>
    <w:p w14:paraId="6A5819A0" w14:textId="3AF9BEEE" w:rsidR="00DA3518" w:rsidRPr="0053275B" w:rsidRDefault="00DA3518" w:rsidP="00975036">
      <w:pPr>
        <w:pStyle w:val="numberedtext"/>
        <w:numPr>
          <w:ilvl w:val="1"/>
          <w:numId w:val="14"/>
        </w:numPr>
      </w:pPr>
      <w:r>
        <w:t>While measurements of ASIC</w:t>
      </w:r>
      <w:r w:rsidR="00EF40B0">
        <w:t>’</w:t>
      </w:r>
      <w:r>
        <w:t xml:space="preserve">s activities or outputs are useful to provide transparency and accountability, they offer limited insight </w:t>
      </w:r>
      <w:r w:rsidR="00136D53">
        <w:t>in</w:t>
      </w:r>
      <w:r>
        <w:t xml:space="preserve">to the effectiveness and capability of ASIC. </w:t>
      </w:r>
      <w:r w:rsidRPr="0053275B">
        <w:t>For example, the time taken to grant a licence and the number of licences granted do not provide an assessment of whether the licensing process is appropriately rigorous or efficient. Similarly, the number of enforcement actions and the quantum of pecuniary penalties</w:t>
      </w:r>
      <w:r>
        <w:t xml:space="preserve"> imposed</w:t>
      </w:r>
      <w:r w:rsidRPr="0053275B">
        <w:t xml:space="preserve"> do not </w:t>
      </w:r>
      <w:r>
        <w:t xml:space="preserve">measure </w:t>
      </w:r>
      <w:r w:rsidRPr="0053275B">
        <w:t>whether the regulator</w:t>
      </w:r>
      <w:r w:rsidR="00EF40B0">
        <w:t>’</w:t>
      </w:r>
      <w:r w:rsidRPr="0053275B">
        <w:t xml:space="preserve">s enforcement strategy is </w:t>
      </w:r>
      <w:r w:rsidR="00AA62E2">
        <w:t>appropriately targeted and deters</w:t>
      </w:r>
      <w:r>
        <w:t xml:space="preserve"> </w:t>
      </w:r>
      <w:r w:rsidRPr="0053275B">
        <w:t>misconduct</w:t>
      </w:r>
      <w:r w:rsidR="001A1CBE">
        <w:t>.</w:t>
      </w:r>
    </w:p>
    <w:p w14:paraId="50DC0D61" w14:textId="77777777" w:rsidR="00DA3518" w:rsidRDefault="00DA3518" w:rsidP="00975036">
      <w:pPr>
        <w:pStyle w:val="numberedtext"/>
        <w:numPr>
          <w:ilvl w:val="1"/>
          <w:numId w:val="14"/>
        </w:numPr>
      </w:pPr>
      <w:r>
        <w:t xml:space="preserve">To assess effectiveness and capability, metrics are required that look at the quality of the regulatory activities and outcomes delivered. In the case of ASIC, some examples of outcomes that </w:t>
      </w:r>
      <w:r w:rsidR="00F82C39">
        <w:t>could be measured</w:t>
      </w:r>
      <w:r>
        <w:t xml:space="preserve"> include:</w:t>
      </w:r>
    </w:p>
    <w:p w14:paraId="24FA1E8D" w14:textId="092B07D2" w:rsidR="00AA62E2" w:rsidRPr="00AC2839" w:rsidRDefault="00AA62E2" w:rsidP="00AC2839">
      <w:pPr>
        <w:pStyle w:val="Bullet"/>
      </w:pPr>
      <w:r w:rsidRPr="00087EFC">
        <w:t xml:space="preserve">consumer </w:t>
      </w:r>
      <w:r w:rsidRPr="00AC2839">
        <w:t xml:space="preserve">confidence in the fairness of the financial system </w:t>
      </w:r>
    </w:p>
    <w:p w14:paraId="2A72D8AC" w14:textId="77777777" w:rsidR="00DA3518" w:rsidRPr="00AC2839" w:rsidRDefault="00DA3518" w:rsidP="00AC2839">
      <w:pPr>
        <w:pStyle w:val="Bullet"/>
      </w:pPr>
      <w:r w:rsidRPr="00AC2839">
        <w:t>enforcement actions that deter future misconduct</w:t>
      </w:r>
    </w:p>
    <w:p w14:paraId="12EF02F9" w14:textId="4FD2FD9E" w:rsidR="00DA3518" w:rsidRPr="00AC2839" w:rsidRDefault="1AA6525F" w:rsidP="00AC2839">
      <w:pPr>
        <w:pStyle w:val="Bullet"/>
      </w:pPr>
      <w:r w:rsidRPr="00AC2839">
        <w:t>licen</w:t>
      </w:r>
      <w:r w:rsidR="23581337" w:rsidRPr="00AC2839">
        <w:t>s</w:t>
      </w:r>
      <w:r w:rsidRPr="00AC2839">
        <w:t xml:space="preserve">ing decisions that ensure only those who are proper, competent and have adequate resources and systems are able to </w:t>
      </w:r>
      <w:r w:rsidR="1F74A117" w:rsidRPr="00AC2839">
        <w:t>enter</w:t>
      </w:r>
      <w:r w:rsidRPr="00AC2839">
        <w:t xml:space="preserve"> the </w:t>
      </w:r>
      <w:r w:rsidR="7ABA4ED8" w:rsidRPr="00AC2839">
        <w:t xml:space="preserve">financial system </w:t>
      </w:r>
    </w:p>
    <w:p w14:paraId="7651BEAE" w14:textId="25DF3B14" w:rsidR="00DA3518" w:rsidRPr="00904645" w:rsidRDefault="0D21CCF0" w:rsidP="00AC2839">
      <w:pPr>
        <w:pStyle w:val="Bullet"/>
      </w:pPr>
      <w:r w:rsidRPr="00AC2839">
        <w:t>surveillance, education and engagement activities that enhance compliance, reduce misconduct and promote</w:t>
      </w:r>
      <w:r>
        <w:t xml:space="preserve"> positive outcomes for consumers and investors</w:t>
      </w:r>
      <w:r w:rsidR="1838AE91">
        <w:t>.</w:t>
      </w:r>
    </w:p>
    <w:p w14:paraId="390D0A34" w14:textId="22502AC4" w:rsidR="00DA3518" w:rsidRDefault="00DA3518" w:rsidP="00975036">
      <w:pPr>
        <w:pStyle w:val="numberedtext"/>
        <w:numPr>
          <w:ilvl w:val="1"/>
          <w:numId w:val="14"/>
        </w:numPr>
      </w:pPr>
      <w:r>
        <w:t>However, none of the above outcomes is readily measurable through individual metrics. The FRAA expects that a manageable number of indicators and metrics will need to be developed that allow for assessment of ASIC</w:t>
      </w:r>
      <w:r w:rsidR="00EF40B0">
        <w:t>’</w:t>
      </w:r>
      <w:r>
        <w:t xml:space="preserve">s effectiveness and capability in delivering against each such outcome. </w:t>
      </w:r>
    </w:p>
    <w:p w14:paraId="444D436F" w14:textId="6E729301" w:rsidR="00DA3518" w:rsidRDefault="003F740E" w:rsidP="00975036">
      <w:pPr>
        <w:pStyle w:val="numberedtext"/>
        <w:numPr>
          <w:ilvl w:val="1"/>
          <w:numId w:val="14"/>
        </w:numPr>
      </w:pPr>
      <w:r>
        <w:t>There</w:t>
      </w:r>
      <w:r w:rsidR="00DA3518" w:rsidRPr="001556CF">
        <w:t xml:space="preserve"> are some </w:t>
      </w:r>
      <w:r>
        <w:t>limited</w:t>
      </w:r>
      <w:r w:rsidR="00DA3518" w:rsidRPr="001556CF">
        <w:t xml:space="preserve"> examples of regulators developing effectiveness and capability </w:t>
      </w:r>
      <w:r w:rsidR="00DA3518">
        <w:t>metrics.</w:t>
      </w:r>
      <w:r w:rsidR="00DA3518" w:rsidRPr="001556CF">
        <w:t xml:space="preserve"> </w:t>
      </w:r>
    </w:p>
    <w:p w14:paraId="6320CB4B" w14:textId="2FCED4B6" w:rsidR="00DA3518" w:rsidRPr="001556CF" w:rsidRDefault="00DA3518" w:rsidP="00975036">
      <w:pPr>
        <w:pStyle w:val="numberedtext"/>
        <w:numPr>
          <w:ilvl w:val="1"/>
          <w:numId w:val="14"/>
        </w:numPr>
      </w:pPr>
      <w:r>
        <w:t>T</w:t>
      </w:r>
      <w:r w:rsidRPr="001556CF">
        <w:t>he United Kingdom</w:t>
      </w:r>
      <w:r w:rsidR="00EF40B0">
        <w:t>’</w:t>
      </w:r>
      <w:r w:rsidRPr="001556CF">
        <w:t xml:space="preserve">s Financial Conduct Authority (FCA) recently commenced a </w:t>
      </w:r>
      <w:r>
        <w:t>3</w:t>
      </w:r>
      <w:r w:rsidR="00EF40B0">
        <w:noBreakHyphen/>
      </w:r>
      <w:r w:rsidRPr="001556CF">
        <w:t>year project to develop and embed a set of metrics that link outcomes for consumers and market participants to the tools and interventions</w:t>
      </w:r>
      <w:r>
        <w:t xml:space="preserve"> the FCA </w:t>
      </w:r>
      <w:r w:rsidRPr="001556CF">
        <w:t xml:space="preserve">deploys. </w:t>
      </w:r>
      <w:r>
        <w:t>The FCA ha</w:t>
      </w:r>
      <w:r w:rsidR="00475F93">
        <w:t>s</w:t>
      </w:r>
      <w:r>
        <w:t xml:space="preserve"> proposed </w:t>
      </w:r>
      <w:r w:rsidRPr="009B1A37">
        <w:t>a</w:t>
      </w:r>
      <w:r>
        <w:t xml:space="preserve"> number of </w:t>
      </w:r>
      <w:r>
        <w:lastRenderedPageBreak/>
        <w:t xml:space="preserve">metrics and </w:t>
      </w:r>
      <w:r w:rsidR="00475F93">
        <w:t>is</w:t>
      </w:r>
      <w:r>
        <w:t xml:space="preserve"> developing </w:t>
      </w:r>
      <w:r w:rsidR="00475F93">
        <w:t>its</w:t>
      </w:r>
      <w:r>
        <w:t xml:space="preserve"> methodology.</w:t>
      </w:r>
      <w:r w:rsidRPr="002F2074">
        <w:rPr>
          <w:rStyle w:val="FootnoteReference"/>
          <w:sz w:val="22"/>
        </w:rPr>
        <w:t xml:space="preserve"> </w:t>
      </w:r>
      <w:r w:rsidR="00F82C39">
        <w:rPr>
          <w:rStyle w:val="FootnoteReference"/>
          <w:sz w:val="22"/>
        </w:rPr>
        <w:footnoteReference w:id="14"/>
      </w:r>
      <w:r w:rsidR="00F82C39">
        <w:t xml:space="preserve"> </w:t>
      </w:r>
      <w:r>
        <w:t>The FRAA will engage with the FCA to learn from its experience.</w:t>
      </w:r>
      <w:r>
        <w:rPr>
          <w:lang w:eastAsia="en-AU"/>
        </w:rPr>
        <w:t xml:space="preserve"> </w:t>
      </w:r>
    </w:p>
    <w:p w14:paraId="1303F819" w14:textId="77777777" w:rsidR="00B96393" w:rsidRDefault="00DA3518" w:rsidP="00975036">
      <w:pPr>
        <w:pStyle w:val="numberedtext"/>
        <w:numPr>
          <w:ilvl w:val="1"/>
          <w:numId w:val="14"/>
        </w:numPr>
      </w:pPr>
      <w:r w:rsidRPr="2E894324">
        <w:t>ASIC has committed to refining its performance assessment framework so</w:t>
      </w:r>
      <w:r>
        <w:t xml:space="preserve"> it </w:t>
      </w:r>
      <w:r w:rsidRPr="2E894324">
        <w:t>can use data and other tools to measure the outcomes of activities.</w:t>
      </w:r>
      <w:r w:rsidRPr="2E894324">
        <w:rPr>
          <w:rStyle w:val="FootnoteReference"/>
          <w:sz w:val="22"/>
        </w:rPr>
        <w:footnoteReference w:id="15"/>
      </w:r>
      <w:r w:rsidRPr="2E894324">
        <w:t xml:space="preserve"> </w:t>
      </w:r>
    </w:p>
    <w:p w14:paraId="224B825D" w14:textId="0BFBDAE3" w:rsidR="00E3261D" w:rsidRPr="00A8180E" w:rsidRDefault="00E3261D" w:rsidP="00E3261D">
      <w:pPr>
        <w:pStyle w:val="Tabletext"/>
        <w:numPr>
          <w:ilvl w:val="1"/>
          <w:numId w:val="14"/>
        </w:numPr>
        <w:rPr>
          <w:sz w:val="22"/>
        </w:rPr>
      </w:pPr>
      <w:r w:rsidRPr="00A8180E">
        <w:rPr>
          <w:sz w:val="22"/>
        </w:rPr>
        <w:t xml:space="preserve">For example, ASIC has formulated a framework to assess the impact of its regulatory interventions, including surveillance projects. This framework </w:t>
      </w:r>
      <w:r>
        <w:rPr>
          <w:sz w:val="22"/>
        </w:rPr>
        <w:t xml:space="preserve">is being </w:t>
      </w:r>
      <w:r w:rsidRPr="00A8180E">
        <w:rPr>
          <w:sz w:val="22"/>
        </w:rPr>
        <w:t>applied in the 2022</w:t>
      </w:r>
      <w:r w:rsidR="00A67DDD">
        <w:rPr>
          <w:sz w:val="22"/>
        </w:rPr>
        <w:t>–</w:t>
      </w:r>
      <w:r>
        <w:rPr>
          <w:sz w:val="22"/>
        </w:rPr>
        <w:t>23</w:t>
      </w:r>
      <w:r w:rsidRPr="00A8180E">
        <w:rPr>
          <w:sz w:val="22"/>
        </w:rPr>
        <w:t xml:space="preserve"> business plans to strategic projects where ASIC </w:t>
      </w:r>
      <w:r>
        <w:rPr>
          <w:sz w:val="22"/>
        </w:rPr>
        <w:t>i</w:t>
      </w:r>
      <w:r w:rsidRPr="00A8180E">
        <w:rPr>
          <w:sz w:val="22"/>
        </w:rPr>
        <w:t>s seeking to intervene to address broad or systematic harms.</w:t>
      </w:r>
      <w:r w:rsidRPr="00A8180E">
        <w:t xml:space="preserve"> </w:t>
      </w:r>
      <w:r w:rsidRPr="00A8180E">
        <w:rPr>
          <w:sz w:val="22"/>
        </w:rPr>
        <w:t>The framework requires that success criteria are identified at the outset, to support ex</w:t>
      </w:r>
      <w:r w:rsidR="00EF40B0">
        <w:rPr>
          <w:sz w:val="22"/>
        </w:rPr>
        <w:noBreakHyphen/>
      </w:r>
      <w:r w:rsidRPr="00A8180E">
        <w:rPr>
          <w:sz w:val="22"/>
        </w:rPr>
        <w:t>post analysis of the outcomes, and whether ASIC has been effective in reducing the identified harm.</w:t>
      </w:r>
    </w:p>
    <w:p w14:paraId="09F4EC56" w14:textId="50E0725F" w:rsidR="00DA3518" w:rsidRPr="00C54BFB" w:rsidRDefault="00737D15" w:rsidP="00975036">
      <w:pPr>
        <w:pStyle w:val="numberedtext"/>
        <w:numPr>
          <w:ilvl w:val="1"/>
          <w:numId w:val="14"/>
        </w:numPr>
      </w:pPr>
      <w:r>
        <w:t>ASIC</w:t>
      </w:r>
      <w:r w:rsidR="00EF40B0">
        <w:t>’</w:t>
      </w:r>
      <w:r>
        <w:t xml:space="preserve">s statutory mandate requires it to </w:t>
      </w:r>
      <w:r w:rsidRPr="00737D15">
        <w:t>maintain, facilitate and improve the performance of the financial system and the entities within that system</w:t>
      </w:r>
      <w:r>
        <w:t>.</w:t>
      </w:r>
      <w:r w:rsidR="00DA3518">
        <w:rPr>
          <w:rStyle w:val="FootnoteReference"/>
          <w:sz w:val="22"/>
        </w:rPr>
        <w:footnoteReference w:id="16"/>
      </w:r>
      <w:r w:rsidR="00DA3518" w:rsidRPr="00F4594B">
        <w:t xml:space="preserve"> </w:t>
      </w:r>
      <w:r w:rsidR="009155B7" w:rsidRPr="007C09C2">
        <w:t>There is therefore, value in considering at a high level the outcomes being delivered by the overall financial system.</w:t>
      </w:r>
      <w:r w:rsidR="009155B7" w:rsidRPr="007C09C2">
        <w:rPr>
          <w:rStyle w:val="FootnoteReference"/>
          <w:sz w:val="22"/>
        </w:rPr>
        <w:t xml:space="preserve"> </w:t>
      </w:r>
    </w:p>
    <w:p w14:paraId="13CE310B" w14:textId="756A4DD6" w:rsidR="00744DE7" w:rsidRDefault="00DA3518" w:rsidP="00975036">
      <w:pPr>
        <w:pStyle w:val="numberedtext"/>
        <w:numPr>
          <w:ilvl w:val="1"/>
          <w:numId w:val="14"/>
        </w:numPr>
      </w:pPr>
      <w:r w:rsidRPr="00744DE7">
        <w:t>A well</w:t>
      </w:r>
      <w:r w:rsidR="00EF40B0">
        <w:noBreakHyphen/>
      </w:r>
      <w:r w:rsidRPr="00744DE7">
        <w:t>functioning financial system is efficient, resilient and treats participants fairly.</w:t>
      </w:r>
      <w:r w:rsidRPr="00D26C1B">
        <w:rPr>
          <w:rStyle w:val="FootnoteReference"/>
        </w:rPr>
        <w:footnoteReference w:id="17"/>
      </w:r>
      <w:r w:rsidRPr="00851CBA">
        <w:rPr>
          <w:rStyle w:val="FootnoteReference"/>
        </w:rPr>
        <w:t xml:space="preserve"> </w:t>
      </w:r>
      <w:r w:rsidR="00AA62E2" w:rsidRPr="00744DE7">
        <w:t>Australia has a generally well</w:t>
      </w:r>
      <w:r w:rsidR="00EF40B0">
        <w:noBreakHyphen/>
      </w:r>
      <w:r w:rsidR="00AA62E2" w:rsidRPr="00744DE7">
        <w:t>functioning financial system, demonstrated by its resilience and efficiency through economic cycles and particularly evident during the Global Financial Crisis (GFC) and COVID</w:t>
      </w:r>
      <w:r w:rsidR="00EF40B0">
        <w:noBreakHyphen/>
      </w:r>
      <w:r w:rsidR="00AA62E2" w:rsidRPr="00744DE7">
        <w:t>19</w:t>
      </w:r>
      <w:r w:rsidR="00B017D6">
        <w:t xml:space="preserve"> pandemic</w:t>
      </w:r>
      <w:r w:rsidR="00AA62E2" w:rsidRPr="00744DE7">
        <w:t>.</w:t>
      </w:r>
      <w:r w:rsidR="00744DE7" w:rsidRPr="00744DE7">
        <w:rPr>
          <w:rStyle w:val="FootnoteReference"/>
        </w:rPr>
        <w:t xml:space="preserve"> </w:t>
      </w:r>
      <w:r w:rsidR="00744DE7">
        <w:rPr>
          <w:rStyle w:val="FootnoteReference"/>
        </w:rPr>
        <w:footnoteReference w:id="18"/>
      </w:r>
      <w:r w:rsidR="00744DE7" w:rsidRPr="00744DE7">
        <w:t xml:space="preserve"> </w:t>
      </w:r>
      <w:r w:rsidR="00AA62E2" w:rsidRPr="00744DE7">
        <w:t>However, as identified by the Royal Commission, the fairness of the financial system and the conduct of financial firms have seen failures requiring considerable reform over the previous decade.</w:t>
      </w:r>
    </w:p>
    <w:p w14:paraId="3C6CD9B6" w14:textId="5E249D38" w:rsidR="00AA62E2" w:rsidRPr="00744DE7" w:rsidRDefault="00AA62E2" w:rsidP="00975036">
      <w:pPr>
        <w:pStyle w:val="numberedtext"/>
        <w:numPr>
          <w:ilvl w:val="1"/>
          <w:numId w:val="14"/>
        </w:numPr>
      </w:pPr>
      <w:r w:rsidRPr="00744DE7">
        <w:t xml:space="preserve">Essential to a fair financial system is adequate compensation arrangements </w:t>
      </w:r>
      <w:r w:rsidRPr="00744DE7">
        <w:rPr>
          <w:rStyle w:val="normaltextrun"/>
          <w:rFonts w:ascii="Calibri" w:hAnsi="Calibri" w:cs="Calibri"/>
          <w:color w:val="000000"/>
          <w:shd w:val="clear" w:color="auto" w:fill="FFFFFF"/>
        </w:rPr>
        <w:t>for harm suffered</w:t>
      </w:r>
      <w:r w:rsidRPr="00744DE7">
        <w:t xml:space="preserve"> by investors and consumers</w:t>
      </w:r>
      <w:r w:rsidRPr="00744DE7">
        <w:rPr>
          <w:rStyle w:val="normaltextrun"/>
          <w:rFonts w:ascii="Calibri" w:hAnsi="Calibri" w:cs="Calibri"/>
          <w:color w:val="000000"/>
          <w:shd w:val="clear" w:color="auto" w:fill="FFFFFF"/>
        </w:rPr>
        <w:t>. In 2020</w:t>
      </w:r>
      <w:r w:rsidR="00DB5FE4">
        <w:rPr>
          <w:rStyle w:val="normaltextrun"/>
          <w:rFonts w:ascii="Calibri" w:hAnsi="Calibri" w:cs="Calibri"/>
          <w:color w:val="000000"/>
          <w:shd w:val="clear" w:color="auto" w:fill="FFFFFF"/>
        </w:rPr>
        <w:t>–</w:t>
      </w:r>
      <w:r w:rsidRPr="00744DE7">
        <w:rPr>
          <w:rStyle w:val="normaltextrun"/>
          <w:rFonts w:ascii="Calibri" w:hAnsi="Calibri" w:cs="Calibri"/>
          <w:color w:val="000000"/>
          <w:shd w:val="clear" w:color="auto" w:fill="FFFFFF"/>
        </w:rPr>
        <w:t>21</w:t>
      </w:r>
      <w:r w:rsidRPr="00744DE7">
        <w:t xml:space="preserve"> the Australian Financial Complaints Authority awarded </w:t>
      </w:r>
      <w:r w:rsidR="007A558E">
        <w:t>$</w:t>
      </w:r>
      <w:r w:rsidRPr="00744DE7">
        <w:t xml:space="preserve">241 million in compensation for </w:t>
      </w:r>
      <w:r w:rsidRPr="00744DE7">
        <w:rPr>
          <w:rStyle w:val="normaltextrun"/>
          <w:rFonts w:ascii="Calibri" w:hAnsi="Calibri" w:cs="Calibri"/>
          <w:color w:val="000000"/>
          <w:shd w:val="clear" w:color="auto" w:fill="FFFFFF"/>
        </w:rPr>
        <w:t xml:space="preserve">financial misconduct causing harm </w:t>
      </w:r>
      <w:r w:rsidRPr="00744DE7">
        <w:t>to investors and consumers</w:t>
      </w:r>
      <w:r w:rsidR="00AE15B1">
        <w:t>, in addition to remediation overseen by ASIC</w:t>
      </w:r>
      <w:r w:rsidRPr="00744DE7">
        <w:t>.</w:t>
      </w:r>
      <w:r w:rsidRPr="457321EB">
        <w:rPr>
          <w:rStyle w:val="FootnoteReference"/>
          <w:sz w:val="22"/>
        </w:rPr>
        <w:footnoteReference w:id="19"/>
      </w:r>
    </w:p>
    <w:p w14:paraId="36E8F734" w14:textId="7B1B1E97" w:rsidR="00AA62E2" w:rsidRPr="00AC0925" w:rsidRDefault="00AA62E2" w:rsidP="00975036">
      <w:pPr>
        <w:pStyle w:val="numberedtext"/>
        <w:numPr>
          <w:ilvl w:val="1"/>
          <w:numId w:val="14"/>
        </w:numPr>
      </w:pPr>
      <w:r w:rsidRPr="00F4594B">
        <w:t>A well</w:t>
      </w:r>
      <w:r w:rsidR="00EF40B0">
        <w:noBreakHyphen/>
      </w:r>
      <w:r w:rsidRPr="00F4594B">
        <w:t>functioning financial system has a number of attributes that can be measured</w:t>
      </w:r>
      <w:r w:rsidRPr="457321EB">
        <w:t>.</w:t>
      </w:r>
      <w:r w:rsidRPr="00F4594B">
        <w:t xml:space="preserve"> </w:t>
      </w:r>
      <w:r w:rsidR="00A6032A" w:rsidRPr="003C03F4">
        <w:t>Box 1.</w:t>
      </w:r>
      <w:r w:rsidR="00A6032A">
        <w:t>3</w:t>
      </w:r>
      <w:r w:rsidR="00840E20">
        <w:t xml:space="preserve"> </w:t>
      </w:r>
      <w:r w:rsidRPr="00F4594B">
        <w:t xml:space="preserve">provides some </w:t>
      </w:r>
      <w:r>
        <w:t xml:space="preserve">examples of </w:t>
      </w:r>
      <w:r w:rsidRPr="00F4594B">
        <w:t xml:space="preserve">indicators </w:t>
      </w:r>
      <w:r>
        <w:t>and metrics</w:t>
      </w:r>
      <w:r w:rsidRPr="00F4594B">
        <w:t xml:space="preserve"> for measuring</w:t>
      </w:r>
      <w:r w:rsidR="00812515">
        <w:t xml:space="preserve"> the</w:t>
      </w:r>
      <w:r w:rsidRPr="00F4594B">
        <w:t xml:space="preserve"> performance of the financial system</w:t>
      </w:r>
      <w:r w:rsidRPr="00302EB4">
        <w:t>.</w:t>
      </w:r>
      <w:r>
        <w:t xml:space="preserve"> </w:t>
      </w:r>
    </w:p>
    <w:tbl>
      <w:tblPr>
        <w:tblStyle w:val="TableGrid"/>
        <w:tblW w:w="4688" w:type="pct"/>
        <w:tblInd w:w="567" w:type="dxa"/>
        <w:tblCellMar>
          <w:top w:w="170" w:type="dxa"/>
          <w:left w:w="170" w:type="dxa"/>
          <w:bottom w:w="170" w:type="dxa"/>
          <w:right w:w="170" w:type="dxa"/>
        </w:tblCellMar>
        <w:tblLook w:val="04A0" w:firstRow="1" w:lastRow="0" w:firstColumn="1" w:lastColumn="0" w:noHBand="0" w:noVBand="1"/>
      </w:tblPr>
      <w:tblGrid>
        <w:gridCol w:w="8506"/>
      </w:tblGrid>
      <w:tr w:rsidR="00AA62E2" w:rsidRPr="003C03F4" w14:paraId="4EBC297C" w14:textId="77777777" w:rsidTr="00E6411A">
        <w:trPr>
          <w:trHeight w:val="284"/>
        </w:trPr>
        <w:tc>
          <w:tcPr>
            <w:tcW w:w="8505" w:type="dxa"/>
            <w:shd w:val="clear" w:color="auto" w:fill="EAEAEA" w:themeFill="background2"/>
          </w:tcPr>
          <w:p w14:paraId="226068CC" w14:textId="7DA0C6DE" w:rsidR="00AA62E2" w:rsidRPr="003C03F4" w:rsidRDefault="00AA62E2" w:rsidP="001B78E4">
            <w:pPr>
              <w:pStyle w:val="BoxHeading"/>
            </w:pPr>
            <w:bookmarkStart w:id="34" w:name="Box_1_3"/>
            <w:r w:rsidRPr="003C03F4">
              <w:lastRenderedPageBreak/>
              <w:t>Box 1.</w:t>
            </w:r>
            <w:r>
              <w:t>3</w:t>
            </w:r>
            <w:bookmarkEnd w:id="34"/>
            <w:r w:rsidRPr="003C03F4">
              <w:t xml:space="preserve">: </w:t>
            </w:r>
            <w:r>
              <w:t>Example indicators and metrics of a well</w:t>
            </w:r>
            <w:r w:rsidR="00EF40B0">
              <w:noBreakHyphen/>
            </w:r>
            <w:r>
              <w:t>functioning financial system</w:t>
            </w:r>
            <w:r w:rsidRPr="003C03F4">
              <w:t xml:space="preserve"> </w:t>
            </w:r>
          </w:p>
          <w:tbl>
            <w:tblPr>
              <w:tblStyle w:val="FRAAtable"/>
              <w:tblW w:w="0" w:type="auto"/>
              <w:tblLook w:val="04A0" w:firstRow="1" w:lastRow="0" w:firstColumn="1" w:lastColumn="0" w:noHBand="0" w:noVBand="1"/>
            </w:tblPr>
            <w:tblGrid>
              <w:gridCol w:w="1434"/>
              <w:gridCol w:w="3071"/>
              <w:gridCol w:w="3661"/>
            </w:tblGrid>
            <w:tr w:rsidR="00AA62E2" w:rsidRPr="003C03F4" w14:paraId="766C7F03" w14:textId="77777777" w:rsidTr="00F559D9">
              <w:trPr>
                <w:cnfStyle w:val="100000000000" w:firstRow="1" w:lastRow="0" w:firstColumn="0" w:lastColumn="0" w:oddVBand="0" w:evenVBand="0" w:oddHBand="0" w:evenHBand="0" w:firstRowFirstColumn="0" w:firstRowLastColumn="0" w:lastRowFirstColumn="0" w:lastRowLastColumn="0"/>
                <w:trHeight w:val="315"/>
              </w:trPr>
              <w:tc>
                <w:tcPr>
                  <w:tcW w:w="0" w:type="auto"/>
                  <w:shd w:val="clear" w:color="auto" w:fill="FFFFFF" w:themeFill="background1"/>
                </w:tcPr>
                <w:p w14:paraId="67A12AF4" w14:textId="77777777" w:rsidR="00AA62E2" w:rsidRPr="00FA2015" w:rsidRDefault="00AA62E2" w:rsidP="00F559D9">
                  <w:pPr>
                    <w:pStyle w:val="TableColumnHeadingLeft"/>
                  </w:pPr>
                  <w:r w:rsidRPr="00FA2015">
                    <w:t>Characteristics</w:t>
                  </w:r>
                </w:p>
              </w:tc>
              <w:tc>
                <w:tcPr>
                  <w:tcW w:w="3188" w:type="dxa"/>
                  <w:shd w:val="clear" w:color="auto" w:fill="FFFFFF" w:themeFill="background1"/>
                  <w:hideMark/>
                </w:tcPr>
                <w:p w14:paraId="2CF9D278" w14:textId="77777777" w:rsidR="00AA62E2" w:rsidRPr="00FA2015" w:rsidRDefault="00AA62E2" w:rsidP="00F559D9">
                  <w:pPr>
                    <w:pStyle w:val="TableColumnHeadingLeft"/>
                  </w:pPr>
                  <w:r>
                    <w:t>Indicators</w:t>
                  </w:r>
                </w:p>
              </w:tc>
              <w:tc>
                <w:tcPr>
                  <w:tcW w:w="3811" w:type="dxa"/>
                  <w:shd w:val="clear" w:color="auto" w:fill="FFFFFF" w:themeFill="background1"/>
                  <w:hideMark/>
                </w:tcPr>
                <w:p w14:paraId="070C1ACB" w14:textId="77777777" w:rsidR="00AA62E2" w:rsidRPr="00FA2015" w:rsidRDefault="00AA62E2" w:rsidP="00F559D9">
                  <w:pPr>
                    <w:pStyle w:val="TableColumnHeadingLeft"/>
                  </w:pPr>
                  <w:r>
                    <w:t>Metrics</w:t>
                  </w:r>
                </w:p>
              </w:tc>
            </w:tr>
            <w:tr w:rsidR="00AA62E2" w:rsidRPr="003C03F4" w14:paraId="3C9EC875" w14:textId="77777777" w:rsidTr="00F559D9">
              <w:trPr>
                <w:cnfStyle w:val="000000100000" w:firstRow="0" w:lastRow="0" w:firstColumn="0" w:lastColumn="0" w:oddVBand="0" w:evenVBand="0" w:oddHBand="1" w:evenHBand="0" w:firstRowFirstColumn="0" w:firstRowLastColumn="0" w:lastRowFirstColumn="0" w:lastRowLastColumn="0"/>
                <w:trHeight w:val="543"/>
              </w:trPr>
              <w:tc>
                <w:tcPr>
                  <w:tcW w:w="0" w:type="auto"/>
                  <w:vMerge w:val="restart"/>
                </w:tcPr>
                <w:p w14:paraId="3B5188CE" w14:textId="77777777" w:rsidR="00AA62E2" w:rsidRPr="00FA2015" w:rsidRDefault="00AA62E2" w:rsidP="00F559D9">
                  <w:pPr>
                    <w:pStyle w:val="TableTextLeft"/>
                  </w:pPr>
                  <w:r w:rsidRPr="00FA2015">
                    <w:t xml:space="preserve">Efficiency  </w:t>
                  </w:r>
                </w:p>
              </w:tc>
              <w:tc>
                <w:tcPr>
                  <w:tcW w:w="3188" w:type="dxa"/>
                  <w:vMerge w:val="restart"/>
                  <w:hideMark/>
                </w:tcPr>
                <w:p w14:paraId="41FA2446" w14:textId="77777777" w:rsidR="00AA62E2" w:rsidRPr="00FA2015" w:rsidRDefault="00AA62E2" w:rsidP="00F559D9">
                  <w:pPr>
                    <w:pStyle w:val="TableTextLeft"/>
                  </w:pPr>
                  <w:r w:rsidRPr="00FA2015">
                    <w:t xml:space="preserve">Financial products and services delivered in </w:t>
                  </w:r>
                  <w:r>
                    <w:t xml:space="preserve">cost efficient </w:t>
                  </w:r>
                  <w:r w:rsidRPr="00FA2015">
                    <w:t xml:space="preserve">way </w:t>
                  </w:r>
                </w:p>
              </w:tc>
              <w:tc>
                <w:tcPr>
                  <w:tcW w:w="3811" w:type="dxa"/>
                  <w:hideMark/>
                </w:tcPr>
                <w:p w14:paraId="344E5850" w14:textId="533F8361" w:rsidR="00AA62E2" w:rsidRPr="00FA2015" w:rsidRDefault="00AA62E2" w:rsidP="00F559D9">
                  <w:pPr>
                    <w:pStyle w:val="TableTextLeft"/>
                  </w:pPr>
                  <w:r w:rsidRPr="00FA2015">
                    <w:t>Cost of capital raisings (equity)</w:t>
                  </w:r>
                </w:p>
              </w:tc>
            </w:tr>
            <w:tr w:rsidR="00AA62E2" w:rsidRPr="003C03F4" w14:paraId="4191D08E" w14:textId="77777777" w:rsidTr="002001F4">
              <w:trPr>
                <w:trHeight w:val="390"/>
              </w:trPr>
              <w:tc>
                <w:tcPr>
                  <w:tcW w:w="0" w:type="auto"/>
                  <w:vMerge/>
                </w:tcPr>
                <w:p w14:paraId="327D10B7" w14:textId="77777777" w:rsidR="00AA62E2" w:rsidRPr="00FA2015" w:rsidRDefault="00AA62E2" w:rsidP="00F559D9">
                  <w:pPr>
                    <w:pStyle w:val="TableTextLeft"/>
                  </w:pPr>
                </w:p>
              </w:tc>
              <w:tc>
                <w:tcPr>
                  <w:tcW w:w="3188" w:type="dxa"/>
                  <w:vMerge/>
                </w:tcPr>
                <w:p w14:paraId="02F6F8A7" w14:textId="77777777" w:rsidR="00AA62E2" w:rsidRPr="00FA2015" w:rsidRDefault="00AA62E2" w:rsidP="00F559D9">
                  <w:pPr>
                    <w:pStyle w:val="TableTextLeft"/>
                  </w:pPr>
                </w:p>
              </w:tc>
              <w:tc>
                <w:tcPr>
                  <w:tcW w:w="3811" w:type="dxa"/>
                  <w:shd w:val="clear" w:color="auto" w:fill="E9F6F6"/>
                </w:tcPr>
                <w:p w14:paraId="57ADCCAC" w14:textId="0F121C15" w:rsidR="00AA62E2" w:rsidRPr="00FA2015" w:rsidRDefault="00AA62E2" w:rsidP="00F559D9">
                  <w:pPr>
                    <w:pStyle w:val="TableTextLeft"/>
                  </w:pPr>
                  <w:r>
                    <w:t xml:space="preserve">Cost of doing business (brokerage commission fees and </w:t>
                  </w:r>
                  <w:r w:rsidR="00881EA7">
                    <w:t>i</w:t>
                  </w:r>
                  <w:r w:rsidR="007D4B5B">
                    <w:t xml:space="preserve">nitial </w:t>
                  </w:r>
                  <w:r w:rsidR="00881EA7">
                    <w:t>p</w:t>
                  </w:r>
                  <w:r w:rsidR="007D4B5B">
                    <w:t xml:space="preserve">ublic </w:t>
                  </w:r>
                  <w:r w:rsidR="00881EA7">
                    <w:t>o</w:t>
                  </w:r>
                  <w:r w:rsidR="007D4B5B">
                    <w:t>ffering</w:t>
                  </w:r>
                  <w:r>
                    <w:t xml:space="preserve"> costs)</w:t>
                  </w:r>
                </w:p>
              </w:tc>
            </w:tr>
            <w:tr w:rsidR="00AA62E2" w:rsidRPr="003C03F4" w14:paraId="391BC757" w14:textId="77777777" w:rsidTr="00F559D9">
              <w:trPr>
                <w:cnfStyle w:val="000000100000" w:firstRow="0" w:lastRow="0" w:firstColumn="0" w:lastColumn="0" w:oddVBand="0" w:evenVBand="0" w:oddHBand="1" w:evenHBand="0" w:firstRowFirstColumn="0" w:firstRowLastColumn="0" w:lastRowFirstColumn="0" w:lastRowLastColumn="0"/>
                <w:trHeight w:val="363"/>
              </w:trPr>
              <w:tc>
                <w:tcPr>
                  <w:tcW w:w="0" w:type="auto"/>
                  <w:vMerge/>
                </w:tcPr>
                <w:p w14:paraId="11FAC1EA" w14:textId="77777777" w:rsidR="00AA62E2" w:rsidRPr="00FA2015" w:rsidRDefault="00AA62E2" w:rsidP="00F559D9">
                  <w:pPr>
                    <w:pStyle w:val="TableTextLeft"/>
                  </w:pPr>
                </w:p>
              </w:tc>
              <w:tc>
                <w:tcPr>
                  <w:tcW w:w="3188" w:type="dxa"/>
                  <w:hideMark/>
                </w:tcPr>
                <w:p w14:paraId="5BEDD7D1" w14:textId="77777777" w:rsidR="00AA62E2" w:rsidRPr="00FA2015" w:rsidRDefault="00AA62E2" w:rsidP="00F559D9">
                  <w:pPr>
                    <w:pStyle w:val="TableTextLeft"/>
                  </w:pPr>
                  <w:r>
                    <w:t>Markets are competitive</w:t>
                  </w:r>
                  <w:r w:rsidRPr="00FA2015">
                    <w:t xml:space="preserve"> </w:t>
                  </w:r>
                </w:p>
              </w:tc>
              <w:tc>
                <w:tcPr>
                  <w:tcW w:w="3811" w:type="dxa"/>
                  <w:hideMark/>
                </w:tcPr>
                <w:p w14:paraId="4E7D5467" w14:textId="77777777" w:rsidR="00AA62E2" w:rsidRPr="00FA2015" w:rsidRDefault="00AA62E2" w:rsidP="00F559D9">
                  <w:pPr>
                    <w:pStyle w:val="TableTextLeft"/>
                  </w:pPr>
                  <w:r w:rsidRPr="00FA2015">
                    <w:t>Size</w:t>
                  </w:r>
                  <w:r>
                    <w:t xml:space="preserve">/volatility </w:t>
                  </w:r>
                  <w:r w:rsidRPr="00FA2015">
                    <w:t>of bid/ask spreads</w:t>
                  </w:r>
                </w:p>
              </w:tc>
            </w:tr>
            <w:tr w:rsidR="00AA62E2" w:rsidRPr="003C03F4" w14:paraId="5D3FB92B" w14:textId="77777777" w:rsidTr="00F559D9">
              <w:trPr>
                <w:trHeight w:val="646"/>
              </w:trPr>
              <w:tc>
                <w:tcPr>
                  <w:tcW w:w="0" w:type="auto"/>
                  <w:shd w:val="clear" w:color="auto" w:fill="FFFFFF" w:themeFill="background1"/>
                </w:tcPr>
                <w:p w14:paraId="79BB18DD" w14:textId="77777777" w:rsidR="00AA62E2" w:rsidRPr="00FA2015" w:rsidRDefault="00AA62E2" w:rsidP="00F559D9">
                  <w:pPr>
                    <w:pStyle w:val="TableTextLeft"/>
                  </w:pPr>
                  <w:r w:rsidRPr="00FA2015">
                    <w:t>Resilience</w:t>
                  </w:r>
                </w:p>
              </w:tc>
              <w:tc>
                <w:tcPr>
                  <w:tcW w:w="3188" w:type="dxa"/>
                  <w:shd w:val="clear" w:color="auto" w:fill="FFFFFF" w:themeFill="background1"/>
                  <w:hideMark/>
                </w:tcPr>
                <w:p w14:paraId="19B5C256" w14:textId="77777777" w:rsidR="00AA62E2" w:rsidRPr="00FA2015" w:rsidRDefault="00AA62E2" w:rsidP="00F559D9">
                  <w:pPr>
                    <w:pStyle w:val="TableTextLeft"/>
                  </w:pPr>
                  <w:r w:rsidRPr="00FA2015">
                    <w:t>Ability to adjust to business cycles and economic shocks</w:t>
                  </w:r>
                </w:p>
              </w:tc>
              <w:tc>
                <w:tcPr>
                  <w:tcW w:w="3811" w:type="dxa"/>
                  <w:shd w:val="clear" w:color="auto" w:fill="FFFFFF" w:themeFill="background1"/>
                  <w:hideMark/>
                </w:tcPr>
                <w:p w14:paraId="6CED0E05" w14:textId="520CF854" w:rsidR="00AA62E2" w:rsidRPr="00FA2015" w:rsidRDefault="00AA62E2" w:rsidP="00F559D9">
                  <w:pPr>
                    <w:pStyle w:val="TableTextLeft"/>
                  </w:pPr>
                  <w:r w:rsidRPr="00FA2015">
                    <w:t xml:space="preserve">Levels of capital, capital ratios, liquidity </w:t>
                  </w:r>
                </w:p>
              </w:tc>
            </w:tr>
            <w:tr w:rsidR="00AA62E2" w:rsidRPr="003C03F4" w14:paraId="3A6886DD" w14:textId="77777777" w:rsidTr="00F559D9">
              <w:trPr>
                <w:cnfStyle w:val="000000100000" w:firstRow="0" w:lastRow="0" w:firstColumn="0" w:lastColumn="0" w:oddVBand="0" w:evenVBand="0" w:oddHBand="1" w:evenHBand="0" w:firstRowFirstColumn="0" w:firstRowLastColumn="0" w:lastRowFirstColumn="0" w:lastRowLastColumn="0"/>
                <w:trHeight w:val="711"/>
              </w:trPr>
              <w:tc>
                <w:tcPr>
                  <w:tcW w:w="0" w:type="auto"/>
                </w:tcPr>
                <w:p w14:paraId="70AFA16D" w14:textId="77777777" w:rsidR="00AA62E2" w:rsidRPr="00FA2015" w:rsidRDefault="00AA62E2" w:rsidP="00F559D9">
                  <w:pPr>
                    <w:pStyle w:val="TableTextLeft"/>
                  </w:pPr>
                  <w:r>
                    <w:t>Fair treatment</w:t>
                  </w:r>
                </w:p>
              </w:tc>
              <w:tc>
                <w:tcPr>
                  <w:tcW w:w="3188" w:type="dxa"/>
                  <w:hideMark/>
                </w:tcPr>
                <w:p w14:paraId="1CD0C7A3" w14:textId="77777777" w:rsidR="00AA62E2" w:rsidRPr="00FA2015" w:rsidRDefault="00AA62E2" w:rsidP="00F559D9">
                  <w:pPr>
                    <w:pStyle w:val="TableTextLeft"/>
                  </w:pPr>
                  <w:r>
                    <w:t>P</w:t>
                  </w:r>
                  <w:r w:rsidRPr="00FA2015">
                    <w:t xml:space="preserve">rompt identification </w:t>
                  </w:r>
                  <w:r>
                    <w:t xml:space="preserve">of misconduct </w:t>
                  </w:r>
                  <w:r w:rsidRPr="00FA2015">
                    <w:t>and action by regulators, and appropriate mechanisms for redress</w:t>
                  </w:r>
                </w:p>
              </w:tc>
              <w:tc>
                <w:tcPr>
                  <w:tcW w:w="3811" w:type="dxa"/>
                  <w:hideMark/>
                </w:tcPr>
                <w:p w14:paraId="10878791" w14:textId="77777777" w:rsidR="00AA62E2" w:rsidRPr="00FA2015" w:rsidRDefault="00AA62E2" w:rsidP="00F559D9">
                  <w:pPr>
                    <w:pStyle w:val="TableTextLeft"/>
                  </w:pPr>
                  <w:r w:rsidRPr="00FA2015">
                    <w:t>Internal and external dispute resolution data (volume of complaints and compensation awarded)</w:t>
                  </w:r>
                </w:p>
              </w:tc>
            </w:tr>
          </w:tbl>
          <w:p w14:paraId="570AA72C" w14:textId="77777777" w:rsidR="00AA62E2" w:rsidRPr="004C66CA" w:rsidRDefault="00AA62E2" w:rsidP="001D2BFE">
            <w:pPr>
              <w:rPr>
                <w:rFonts w:asciiTheme="minorHAnsi" w:hAnsiTheme="minorHAnsi"/>
              </w:rPr>
            </w:pPr>
          </w:p>
        </w:tc>
      </w:tr>
    </w:tbl>
    <w:p w14:paraId="75B7DD10" w14:textId="3C2887E7" w:rsidR="00DA3518" w:rsidRPr="001B78E4" w:rsidRDefault="00DA3518" w:rsidP="00975036">
      <w:pPr>
        <w:pStyle w:val="numberedtext"/>
        <w:numPr>
          <w:ilvl w:val="1"/>
          <w:numId w:val="14"/>
        </w:numPr>
      </w:pPr>
      <w:r w:rsidRPr="001B78E4">
        <w:t>It is difficult to assess the overall performance of Australia</w:t>
      </w:r>
      <w:r w:rsidR="00EF40B0">
        <w:t>’</w:t>
      </w:r>
      <w:r w:rsidRPr="001B78E4">
        <w:t>s financial system and further challenges arise when seeking to draw from such an assessment, reliable inferences as to the effectiveness and capability of ASIC. To illustrate:</w:t>
      </w:r>
    </w:p>
    <w:p w14:paraId="29A895FE" w14:textId="68B4448F" w:rsidR="00DA3518" w:rsidRPr="00AC2839" w:rsidRDefault="00DA3518" w:rsidP="00AC2839">
      <w:pPr>
        <w:pStyle w:val="Bullet"/>
      </w:pPr>
      <w:r w:rsidRPr="00766856">
        <w:t xml:space="preserve">There is no </w:t>
      </w:r>
      <w:r w:rsidRPr="00AC2839">
        <w:t xml:space="preserve">consensus as to the relative importance of the attributes of a functioning financial system and </w:t>
      </w:r>
      <w:r w:rsidR="00A5569E" w:rsidRPr="00AC2839">
        <w:t xml:space="preserve">the </w:t>
      </w:r>
      <w:r w:rsidRPr="00AC2839">
        <w:t>trade</w:t>
      </w:r>
      <w:r w:rsidR="00EF40B0" w:rsidRPr="00AC2839">
        <w:noBreakHyphen/>
      </w:r>
      <w:r w:rsidRPr="00AC2839">
        <w:t>offs required</w:t>
      </w:r>
      <w:r w:rsidR="001A1CBE" w:rsidRPr="00AC2839">
        <w:t xml:space="preserve">. </w:t>
      </w:r>
      <w:r w:rsidRPr="00AC2839">
        <w:t>For example, the pursuit of efficiency may operate to the detriment of fairness to participants</w:t>
      </w:r>
      <w:r w:rsidR="00F82C39" w:rsidRPr="00AC2839">
        <w:t>.</w:t>
      </w:r>
    </w:p>
    <w:p w14:paraId="438EE965" w14:textId="16AF517F" w:rsidR="00DA3518" w:rsidRPr="00AC2839" w:rsidRDefault="00DA3518" w:rsidP="00AC2839">
      <w:pPr>
        <w:pStyle w:val="Bullet"/>
      </w:pPr>
      <w:r w:rsidRPr="00AC2839">
        <w:t>There are temporal issues; a well</w:t>
      </w:r>
      <w:r w:rsidR="00EF40B0" w:rsidRPr="00AC2839">
        <w:noBreakHyphen/>
      </w:r>
      <w:r w:rsidRPr="00AC2839">
        <w:t>performing financial system may reflect the past rather than the current effectiveness and capability of ASIC</w:t>
      </w:r>
      <w:r w:rsidR="00D56FF0" w:rsidRPr="00AC2839">
        <w:t>.</w:t>
      </w:r>
    </w:p>
    <w:p w14:paraId="5C9CA367" w14:textId="6827ED02" w:rsidR="00AA62E2" w:rsidRPr="00766856" w:rsidRDefault="00AA62E2" w:rsidP="00AC2839">
      <w:pPr>
        <w:pStyle w:val="Bullet"/>
      </w:pPr>
      <w:r w:rsidRPr="00AC2839">
        <w:t>The types of metrics</w:t>
      </w:r>
      <w:r w:rsidRPr="00766856">
        <w:t xml:space="preserve"> outlined in </w:t>
      </w:r>
      <w:r w:rsidR="00A6032A" w:rsidRPr="003C03F4">
        <w:t>Box 1.</w:t>
      </w:r>
      <w:r w:rsidR="00A6032A">
        <w:t>3</w:t>
      </w:r>
      <w:r w:rsidR="00840E20">
        <w:t xml:space="preserve"> </w:t>
      </w:r>
      <w:r w:rsidRPr="00766856">
        <w:t>reflect factors beyond ASIC</w:t>
      </w:r>
      <w:r w:rsidR="00EF40B0">
        <w:t>’</w:t>
      </w:r>
      <w:r w:rsidRPr="00766856">
        <w:t>s control such as tax policy settings, global markets and economic conditions and the behaviour and conduct of participants (demand and supply)</w:t>
      </w:r>
      <w:r>
        <w:t>.</w:t>
      </w:r>
      <w:r w:rsidRPr="00766856">
        <w:t xml:space="preserve"> </w:t>
      </w:r>
    </w:p>
    <w:p w14:paraId="00358CD9" w14:textId="77777777" w:rsidR="00DA3518" w:rsidRPr="00D44196" w:rsidRDefault="00AA62E2" w:rsidP="00D32FED">
      <w:pPr>
        <w:pStyle w:val="Heading3"/>
      </w:pPr>
      <w:bookmarkStart w:id="35" w:name="_Toc108786413"/>
      <w:r>
        <w:t>Consultation</w:t>
      </w:r>
      <w:r w:rsidR="00DA3518">
        <w:t xml:space="preserve"> on measuring regulator effectiveness and capability</w:t>
      </w:r>
      <w:bookmarkEnd w:id="35"/>
    </w:p>
    <w:p w14:paraId="21691FED" w14:textId="77777777" w:rsidR="00DA3518" w:rsidRDefault="00DA3518" w:rsidP="00975036">
      <w:pPr>
        <w:pStyle w:val="numberedtext"/>
        <w:numPr>
          <w:ilvl w:val="1"/>
          <w:numId w:val="14"/>
        </w:numPr>
      </w:pPr>
      <w:r>
        <w:rPr>
          <w:rFonts w:ascii="Calibri" w:eastAsia="Calibri" w:hAnsi="Calibri" w:cs="Calibri"/>
        </w:rPr>
        <w:t>To develop measures</w:t>
      </w:r>
      <w:r>
        <w:t xml:space="preserve"> to </w:t>
      </w:r>
      <w:r w:rsidRPr="005C6FA4">
        <w:t>assess</w:t>
      </w:r>
      <w:r>
        <w:t xml:space="preserve"> the </w:t>
      </w:r>
      <w:r w:rsidRPr="005C6FA4">
        <w:t>effectiveness and capability of a regulator</w:t>
      </w:r>
      <w:r w:rsidRPr="00CD22F3">
        <w:rPr>
          <w:rFonts w:ascii="Calibri" w:eastAsia="Calibri" w:hAnsi="Calibri" w:cs="Calibri"/>
        </w:rPr>
        <w:t xml:space="preserve"> </w:t>
      </w:r>
      <w:r>
        <w:rPr>
          <w:rFonts w:ascii="Calibri" w:eastAsia="Calibri" w:hAnsi="Calibri" w:cs="Calibri"/>
        </w:rPr>
        <w:t xml:space="preserve">is a novel endeavour. </w:t>
      </w:r>
    </w:p>
    <w:p w14:paraId="39DC30E7" w14:textId="257CACFD" w:rsidR="00706F2A" w:rsidRPr="002C20C9" w:rsidRDefault="00706F2A" w:rsidP="00724B26">
      <w:pPr>
        <w:pStyle w:val="Tabletext"/>
        <w:numPr>
          <w:ilvl w:val="1"/>
          <w:numId w:val="48"/>
        </w:numPr>
        <w:rPr>
          <w:sz w:val="22"/>
        </w:rPr>
      </w:pPr>
      <w:r w:rsidRPr="000329E0">
        <w:rPr>
          <w:sz w:val="22"/>
        </w:rPr>
        <w:t xml:space="preserve">Over the next year the FRAA, through consultation with the </w:t>
      </w:r>
      <w:r w:rsidR="00652618">
        <w:rPr>
          <w:sz w:val="22"/>
        </w:rPr>
        <w:t>r</w:t>
      </w:r>
      <w:r w:rsidRPr="000329E0">
        <w:rPr>
          <w:sz w:val="22"/>
        </w:rPr>
        <w:t>egulators and others, will seek to develop indicators and metrics. This is likely to be an iterative process that will continue to evolve.</w:t>
      </w:r>
      <w:r>
        <w:rPr>
          <w:sz w:val="22"/>
        </w:rPr>
        <w:t xml:space="preserve"> </w:t>
      </w:r>
      <w:r w:rsidRPr="002C20C9">
        <w:rPr>
          <w:sz w:val="22"/>
        </w:rPr>
        <w:t>Also, the FRAA will look to determine benchmarks that will facilitate comparisons over time.</w:t>
      </w:r>
    </w:p>
    <w:p w14:paraId="3336464C" w14:textId="4FC2271B" w:rsidR="00276C83" w:rsidRPr="002D5A31" w:rsidRDefault="00276C83" w:rsidP="00276C83">
      <w:pPr>
        <w:pStyle w:val="Tabletext"/>
        <w:numPr>
          <w:ilvl w:val="1"/>
          <w:numId w:val="14"/>
        </w:numPr>
        <w:rPr>
          <w:sz w:val="22"/>
        </w:rPr>
      </w:pPr>
      <w:r w:rsidRPr="00FD450B">
        <w:rPr>
          <w:sz w:val="22"/>
        </w:rPr>
        <w:t xml:space="preserve">Consideration will be given to measures of the performance of the financial system </w:t>
      </w:r>
      <w:r>
        <w:rPr>
          <w:sz w:val="22"/>
        </w:rPr>
        <w:t xml:space="preserve">including </w:t>
      </w:r>
      <w:r w:rsidRPr="00FD450B">
        <w:rPr>
          <w:sz w:val="22"/>
        </w:rPr>
        <w:t>promoting confident and informed investors and consumers</w:t>
      </w:r>
      <w:r w:rsidR="00792710" w:rsidRPr="00792710">
        <w:rPr>
          <w:sz w:val="22"/>
        </w:rPr>
        <w:t xml:space="preserve"> </w:t>
      </w:r>
      <w:r w:rsidR="00792710" w:rsidRPr="00FD450B">
        <w:rPr>
          <w:sz w:val="22"/>
        </w:rPr>
        <w:t xml:space="preserve">and the value </w:t>
      </w:r>
      <w:r w:rsidR="00792710">
        <w:rPr>
          <w:sz w:val="22"/>
        </w:rPr>
        <w:t xml:space="preserve">such measures </w:t>
      </w:r>
      <w:r w:rsidR="00792710" w:rsidRPr="00FD450B">
        <w:rPr>
          <w:sz w:val="22"/>
        </w:rPr>
        <w:t xml:space="preserve">provide in assessing </w:t>
      </w:r>
      <w:r w:rsidR="00792710">
        <w:rPr>
          <w:sz w:val="22"/>
        </w:rPr>
        <w:t xml:space="preserve">regulator </w:t>
      </w:r>
      <w:r w:rsidR="00792710" w:rsidRPr="00FD450B">
        <w:rPr>
          <w:sz w:val="22"/>
        </w:rPr>
        <w:t>effectiveness and capability.</w:t>
      </w:r>
      <w:r>
        <w:rPr>
          <w:rStyle w:val="FootnoteReference"/>
          <w:sz w:val="22"/>
        </w:rPr>
        <w:footnoteReference w:id="20"/>
      </w:r>
      <w:r w:rsidRPr="00FD450B">
        <w:rPr>
          <w:sz w:val="22"/>
        </w:rPr>
        <w:t xml:space="preserve"> </w:t>
      </w:r>
    </w:p>
    <w:p w14:paraId="0791CFBF" w14:textId="66BEEDFC" w:rsidR="00AA62E2" w:rsidRPr="00AB7BDB" w:rsidRDefault="00AA62E2" w:rsidP="00975036">
      <w:pPr>
        <w:pStyle w:val="numberedtext"/>
        <w:numPr>
          <w:ilvl w:val="1"/>
          <w:numId w:val="14"/>
        </w:numPr>
      </w:pPr>
      <w:r>
        <w:t xml:space="preserve">The FRAA will use the consultation to inform the development of a framework and expects the </w:t>
      </w:r>
      <w:r w:rsidR="00652618">
        <w:t>r</w:t>
      </w:r>
      <w:r>
        <w:t xml:space="preserve">egulators will do likewise to assess their own effectiveness and capability. </w:t>
      </w:r>
    </w:p>
    <w:p w14:paraId="7FDB7D64" w14:textId="77777777" w:rsidR="00DA3518" w:rsidRPr="00664E3B" w:rsidRDefault="00DA3518" w:rsidP="00F82C39">
      <w:pPr>
        <w:pStyle w:val="Heading3"/>
      </w:pPr>
      <w:bookmarkStart w:id="36" w:name="_Toc108786414"/>
      <w:r>
        <w:lastRenderedPageBreak/>
        <w:t>Approach to</w:t>
      </w:r>
      <w:r w:rsidRPr="003118C2">
        <w:t xml:space="preserve"> measuring effectiveness and capability</w:t>
      </w:r>
      <w:r>
        <w:t xml:space="preserve"> in the first review of ASIC</w:t>
      </w:r>
      <w:bookmarkEnd w:id="36"/>
    </w:p>
    <w:p w14:paraId="22666F93" w14:textId="435A5872" w:rsidR="00AA62E2" w:rsidRPr="006C2D5C" w:rsidRDefault="00AA62E2" w:rsidP="00975036">
      <w:pPr>
        <w:pStyle w:val="numberedtext"/>
        <w:numPr>
          <w:ilvl w:val="1"/>
          <w:numId w:val="14"/>
        </w:numPr>
      </w:pPr>
      <w:r>
        <w:t>Without pre</w:t>
      </w:r>
      <w:r w:rsidR="00EF40B0">
        <w:noBreakHyphen/>
      </w:r>
      <w:r>
        <w:t>empting its outcome, the FRAA expects the above consultation will examine many of the following attributes of effectiveness and capability</w:t>
      </w:r>
      <w:r w:rsidR="00994471">
        <w:t xml:space="preserve">, in addition to other indicators of performance against the </w:t>
      </w:r>
      <w:r w:rsidR="00652618">
        <w:t>r</w:t>
      </w:r>
      <w:r w:rsidR="00994471">
        <w:t>egulators</w:t>
      </w:r>
      <w:r w:rsidR="00EF40B0">
        <w:t>’</w:t>
      </w:r>
      <w:r w:rsidR="00994471">
        <w:t xml:space="preserve"> mandates and objectives</w:t>
      </w:r>
      <w:r>
        <w:t>:</w:t>
      </w:r>
    </w:p>
    <w:p w14:paraId="4ED312D3" w14:textId="3A7AF523" w:rsidR="00DA3518" w:rsidRPr="00AC2839" w:rsidRDefault="00DA3518" w:rsidP="00AC2839">
      <w:pPr>
        <w:pStyle w:val="Bullet"/>
      </w:pPr>
      <w:r>
        <w:t xml:space="preserve">Efficiency </w:t>
      </w:r>
      <w:r w:rsidRPr="00AC2839">
        <w:t>in the allocation of resources within ASIC, including the use of technology and data, to manage risk proportionately, to ensure timely decision</w:t>
      </w:r>
      <w:r w:rsidR="00EF40B0" w:rsidRPr="00AC2839">
        <w:noBreakHyphen/>
      </w:r>
      <w:r w:rsidRPr="00AC2839">
        <w:t>making and to minimise the regulatory burden experienced by those regulated.</w:t>
      </w:r>
    </w:p>
    <w:p w14:paraId="1285F9E1" w14:textId="150EE15A" w:rsidR="00AA62E2" w:rsidRPr="00AC2839" w:rsidRDefault="00AA62E2" w:rsidP="00AC2839">
      <w:pPr>
        <w:pStyle w:val="Bullet"/>
      </w:pPr>
      <w:r w:rsidRPr="00AC2839">
        <w:t>Fairness of ASIC</w:t>
      </w:r>
      <w:r w:rsidR="00EF40B0" w:rsidRPr="00AC2839">
        <w:t>’</w:t>
      </w:r>
      <w:r w:rsidRPr="00AC2839">
        <w:t xml:space="preserve">s operations which requires that people engaging with ASIC have the right to be heard and are treated impartially. </w:t>
      </w:r>
    </w:p>
    <w:p w14:paraId="38CFDC52" w14:textId="3CFAE634" w:rsidR="00AA62E2" w:rsidRPr="00AC2839" w:rsidRDefault="7ABA4ED8" w:rsidP="00AC2839">
      <w:pPr>
        <w:pStyle w:val="Bullet"/>
      </w:pPr>
      <w:r w:rsidRPr="00AC2839">
        <w:t>Transparency of ASIC</w:t>
      </w:r>
      <w:r w:rsidR="00EF40B0" w:rsidRPr="00AC2839">
        <w:t>’</w:t>
      </w:r>
      <w:r w:rsidRPr="00AC2839">
        <w:t>s activities which is achieved when objectives, procedures, approaches and decisions are widely known and understood internally and externally.</w:t>
      </w:r>
    </w:p>
    <w:p w14:paraId="1943F661" w14:textId="77777777" w:rsidR="00AA62E2" w:rsidRPr="00AC2839" w:rsidRDefault="7ABA4ED8" w:rsidP="00AC2839">
      <w:pPr>
        <w:pStyle w:val="Bullet"/>
      </w:pPr>
      <w:r w:rsidRPr="00AC2839">
        <w:t>Accountability where ASIC owns its decisions, assesses and reports on its outcomes and actively seeks ways to achieve continual improvements in its performance.</w:t>
      </w:r>
    </w:p>
    <w:p w14:paraId="5F4FB0BE" w14:textId="6005102A" w:rsidR="00DA3518" w:rsidRPr="0037433F" w:rsidRDefault="00994471" w:rsidP="00AC2839">
      <w:pPr>
        <w:pStyle w:val="Bullet"/>
      </w:pPr>
      <w:r w:rsidRPr="00AC2839">
        <w:t>Organisational capability through s</w:t>
      </w:r>
      <w:r w:rsidR="00AA62E2" w:rsidRPr="00AC2839">
        <w:t xml:space="preserve">trong systems, </w:t>
      </w:r>
      <w:r w:rsidRPr="00AC2839">
        <w:t xml:space="preserve">processes, </w:t>
      </w:r>
      <w:r w:rsidR="00AA62E2" w:rsidRPr="00AC2839">
        <w:t xml:space="preserve">resources (including </w:t>
      </w:r>
      <w:r w:rsidR="00DA3518" w:rsidRPr="00AC2839">
        <w:t>people</w:t>
      </w:r>
      <w:r w:rsidR="00AA62E2" w:rsidRPr="00AC2839">
        <w:t>) and</w:t>
      </w:r>
      <w:r w:rsidR="00AA62E2">
        <w:t xml:space="preserve"> culture.</w:t>
      </w:r>
      <w:r w:rsidR="00F7576C" w:rsidRPr="006358F7">
        <w:rPr>
          <w:vertAlign w:val="superscript"/>
          <w:lang w:val="en-US"/>
        </w:rPr>
        <w:footnoteReference w:id="21"/>
      </w:r>
    </w:p>
    <w:p w14:paraId="0F3C4A22" w14:textId="3ADDE9CF" w:rsidR="00F82C39" w:rsidRPr="002066CB" w:rsidRDefault="00F82C39" w:rsidP="00975036">
      <w:pPr>
        <w:pStyle w:val="numberedtext"/>
        <w:numPr>
          <w:ilvl w:val="1"/>
          <w:numId w:val="14"/>
        </w:numPr>
      </w:pPr>
      <w:r>
        <w:t xml:space="preserve">In this </w:t>
      </w:r>
      <w:r w:rsidR="004D4914">
        <w:t>r</w:t>
      </w:r>
      <w:r>
        <w:t>eview, the FRAA has had regard to these attributes, among others, in its assessment of ASIC</w:t>
      </w:r>
      <w:r w:rsidR="00EF40B0">
        <w:t>’</w:t>
      </w:r>
      <w:r>
        <w:t>s strategic prioritisation, planning and decision</w:t>
      </w:r>
      <w:r w:rsidR="00EF40B0">
        <w:noBreakHyphen/>
      </w:r>
      <w:r>
        <w:t xml:space="preserve">making, </w:t>
      </w:r>
      <w:r w:rsidR="006248E8">
        <w:t xml:space="preserve">and its </w:t>
      </w:r>
      <w:r>
        <w:t xml:space="preserve">surveillance and licensing functions. </w:t>
      </w:r>
    </w:p>
    <w:p w14:paraId="16F4BD6A" w14:textId="60AEBDA6" w:rsidR="00AF0F0B" w:rsidRPr="002D1A3E" w:rsidRDefault="00AF0F0B" w:rsidP="002D1A3E">
      <w:pPr>
        <w:pStyle w:val="Heading2"/>
        <w:rPr>
          <w:rFonts w:eastAsiaTheme="minorHAnsi"/>
        </w:rPr>
      </w:pPr>
      <w:bookmarkStart w:id="37" w:name="_Toc103249226"/>
      <w:bookmarkStart w:id="38" w:name="_Toc110241812"/>
      <w:r w:rsidRPr="002D1A3E">
        <w:rPr>
          <w:rFonts w:eastAsiaTheme="minorHAnsi"/>
        </w:rPr>
        <w:t xml:space="preserve">Scope and methodology of this </w:t>
      </w:r>
      <w:r w:rsidR="004D4914">
        <w:rPr>
          <w:rFonts w:eastAsiaTheme="minorHAnsi"/>
        </w:rPr>
        <w:t>r</w:t>
      </w:r>
      <w:r w:rsidRPr="002D1A3E">
        <w:rPr>
          <w:rFonts w:eastAsiaTheme="minorHAnsi"/>
        </w:rPr>
        <w:t>eview</w:t>
      </w:r>
      <w:bookmarkEnd w:id="37"/>
      <w:bookmarkEnd w:id="38"/>
    </w:p>
    <w:p w14:paraId="461354CA" w14:textId="77777777" w:rsidR="00DA3518" w:rsidRPr="00323A8E" w:rsidRDefault="00DA3518" w:rsidP="00323A8E">
      <w:pPr>
        <w:pStyle w:val="Heading3"/>
      </w:pPr>
      <w:bookmarkStart w:id="39" w:name="_Toc108786416"/>
      <w:r w:rsidRPr="00D16698">
        <w:t>Scope</w:t>
      </w:r>
      <w:bookmarkEnd w:id="39"/>
    </w:p>
    <w:p w14:paraId="6EA89595" w14:textId="163BC1EC" w:rsidR="00DA3518" w:rsidRPr="006D3523" w:rsidRDefault="00DA3518" w:rsidP="00975036">
      <w:pPr>
        <w:pStyle w:val="numberedtext"/>
        <w:numPr>
          <w:ilvl w:val="1"/>
          <w:numId w:val="14"/>
        </w:numPr>
      </w:pPr>
      <w:r>
        <w:t xml:space="preserve">This </w:t>
      </w:r>
      <w:r w:rsidR="004D4914">
        <w:t>r</w:t>
      </w:r>
      <w:r>
        <w:t>eview assesses</w:t>
      </w:r>
      <w:r w:rsidRPr="25F17B12">
        <w:t xml:space="preserve"> ASIC</w:t>
      </w:r>
      <w:r w:rsidR="00EF40B0">
        <w:t>’</w:t>
      </w:r>
      <w:r w:rsidRPr="25F17B12">
        <w:t>s effectiveness and capability in strategic prioritisation, planning and decision</w:t>
      </w:r>
      <w:r w:rsidR="00EF40B0">
        <w:noBreakHyphen/>
      </w:r>
      <w:r w:rsidRPr="25F17B12">
        <w:t>making</w:t>
      </w:r>
      <w:r>
        <w:t xml:space="preserve"> and</w:t>
      </w:r>
      <w:r w:rsidRPr="25F17B12">
        <w:t xml:space="preserve"> its surveillance and licensing function</w:t>
      </w:r>
      <w:r>
        <w:t>s</w:t>
      </w:r>
      <w:r w:rsidRPr="25F17B12">
        <w:t>. In examining these scope areas, th</w:t>
      </w:r>
      <w:r>
        <w:t>is</w:t>
      </w:r>
      <w:r w:rsidRPr="25F17B12">
        <w:t xml:space="preserve"> </w:t>
      </w:r>
      <w:r w:rsidR="004D4914">
        <w:t>r</w:t>
      </w:r>
      <w:r w:rsidRPr="25F17B12">
        <w:t xml:space="preserve">eview also considers </w:t>
      </w:r>
      <w:r>
        <w:t>ASIC</w:t>
      </w:r>
      <w:r w:rsidR="00EF40B0">
        <w:t>’</w:t>
      </w:r>
      <w:r>
        <w:t>s</w:t>
      </w:r>
      <w:r w:rsidRPr="25F17B12">
        <w:t xml:space="preserve"> data and technology capabilities.</w:t>
      </w:r>
    </w:p>
    <w:p w14:paraId="547F6AEA" w14:textId="38F1D6FE" w:rsidR="00DA3518" w:rsidRPr="000D2561" w:rsidRDefault="00DA3518" w:rsidP="00A51761">
      <w:pPr>
        <w:pStyle w:val="Heading3"/>
      </w:pPr>
      <w:bookmarkStart w:id="40" w:name="_Toc108786417"/>
      <w:r w:rsidRPr="00B30028">
        <w:t>Strategic prioritisation, p</w:t>
      </w:r>
      <w:r w:rsidRPr="000D2561">
        <w:t>lanning and decision</w:t>
      </w:r>
      <w:r w:rsidR="00EF40B0">
        <w:noBreakHyphen/>
      </w:r>
      <w:r w:rsidRPr="000D2561">
        <w:t>making</w:t>
      </w:r>
      <w:bookmarkEnd w:id="40"/>
      <w:r w:rsidRPr="000D2561">
        <w:t xml:space="preserve"> </w:t>
      </w:r>
    </w:p>
    <w:p w14:paraId="37358187" w14:textId="3D10371E" w:rsidR="00DA3518" w:rsidRPr="006D3523" w:rsidRDefault="00DA3518" w:rsidP="00975036">
      <w:pPr>
        <w:pStyle w:val="numberedtext"/>
        <w:numPr>
          <w:ilvl w:val="1"/>
          <w:numId w:val="14"/>
        </w:numPr>
      </w:pPr>
      <w:r w:rsidRPr="5C921D63">
        <w:t>ASIC</w:t>
      </w:r>
      <w:r w:rsidR="00EF40B0">
        <w:t>’</w:t>
      </w:r>
      <w:r w:rsidRPr="5C921D63">
        <w:t xml:space="preserve">s </w:t>
      </w:r>
      <w:r>
        <w:t>effectiveness in</w:t>
      </w:r>
      <w:r w:rsidRPr="5C921D63">
        <w:t xml:space="preserve"> set</w:t>
      </w:r>
      <w:r>
        <w:t>ting</w:t>
      </w:r>
      <w:r w:rsidRPr="5C921D63">
        <w:t xml:space="preserve"> and execut</w:t>
      </w:r>
      <w:r>
        <w:t>ing</w:t>
      </w:r>
      <w:r w:rsidRPr="5C921D63">
        <w:t xml:space="preserve"> its strategic priorities and mak</w:t>
      </w:r>
      <w:r>
        <w:t>ing</w:t>
      </w:r>
      <w:r w:rsidRPr="5C921D63">
        <w:t xml:space="preserve"> </w:t>
      </w:r>
      <w:r>
        <w:t>regulatory</w:t>
      </w:r>
      <w:r w:rsidRPr="5C921D63">
        <w:t xml:space="preserve"> decisions is </w:t>
      </w:r>
      <w:r>
        <w:t>central to</w:t>
      </w:r>
      <w:r w:rsidRPr="5C921D63">
        <w:t xml:space="preserve"> its overall effectiveness and </w:t>
      </w:r>
      <w:r>
        <w:t>the</w:t>
      </w:r>
      <w:r w:rsidRPr="5C921D63">
        <w:t xml:space="preserve"> starting point </w:t>
      </w:r>
      <w:r>
        <w:t xml:space="preserve">to assess </w:t>
      </w:r>
      <w:r w:rsidRPr="5C921D63">
        <w:t>ASIC</w:t>
      </w:r>
      <w:r w:rsidR="00EF40B0">
        <w:t>’</w:t>
      </w:r>
      <w:r w:rsidRPr="5C921D63">
        <w:t>s other activities.</w:t>
      </w:r>
    </w:p>
    <w:p w14:paraId="1AB6EED0" w14:textId="74A324F0" w:rsidR="00DA3518" w:rsidRPr="00E07CD4" w:rsidRDefault="00DA3518" w:rsidP="00975036">
      <w:pPr>
        <w:pStyle w:val="numberedtext"/>
        <w:numPr>
          <w:ilvl w:val="1"/>
          <w:numId w:val="14"/>
        </w:numPr>
      </w:pPr>
      <w:r w:rsidRPr="5C921D63">
        <w:t>The assessment of strategic prioritisation, planning and decision</w:t>
      </w:r>
      <w:r w:rsidR="00EF40B0">
        <w:noBreakHyphen/>
      </w:r>
      <w:r w:rsidRPr="5C921D63">
        <w:t>making examines the decision</w:t>
      </w:r>
      <w:r w:rsidR="00EF40B0">
        <w:noBreakHyphen/>
      </w:r>
      <w:r w:rsidRPr="5C921D63">
        <w:t xml:space="preserve">making within ASIC, its alignment with articulated priorities and whether the prioritisation process is sufficiently responsive to risks. </w:t>
      </w:r>
      <w:r>
        <w:t>This</w:t>
      </w:r>
      <w:r w:rsidRPr="00E07CD4">
        <w:t xml:space="preserve"> includes regulatory decisions, strategic decisions and decisions relating to ASIC</w:t>
      </w:r>
      <w:r w:rsidR="00EF40B0">
        <w:t>’</w:t>
      </w:r>
      <w:r w:rsidRPr="00E07CD4">
        <w:t>s organisational management</w:t>
      </w:r>
      <w:r>
        <w:t xml:space="preserve"> </w:t>
      </w:r>
      <w:r w:rsidRPr="00E07CD4" w:rsidDel="00B554C1">
        <w:t>process</w:t>
      </w:r>
      <w:r>
        <w:t>.</w:t>
      </w:r>
    </w:p>
    <w:p w14:paraId="76F46213" w14:textId="77777777" w:rsidR="00DA3518" w:rsidRPr="006D3523" w:rsidRDefault="00DA3518" w:rsidP="00A51761">
      <w:pPr>
        <w:pStyle w:val="Heading3"/>
        <w:rPr>
          <w:rFonts w:asciiTheme="minorHAnsi" w:hAnsiTheme="minorHAnsi" w:cstheme="minorHAnsi"/>
        </w:rPr>
      </w:pPr>
      <w:bookmarkStart w:id="41" w:name="_Toc108786418"/>
      <w:r w:rsidRPr="00B30028">
        <w:lastRenderedPageBreak/>
        <w:t>Surveillance</w:t>
      </w:r>
      <w:bookmarkEnd w:id="41"/>
    </w:p>
    <w:p w14:paraId="18635BCE" w14:textId="1DF67E39" w:rsidR="00DA3518" w:rsidRPr="006D3523" w:rsidRDefault="00DA3518" w:rsidP="00975036">
      <w:pPr>
        <w:pStyle w:val="numberedtext"/>
        <w:numPr>
          <w:ilvl w:val="1"/>
          <w:numId w:val="14"/>
        </w:numPr>
      </w:pPr>
      <w:r w:rsidRPr="5C921D63">
        <w:t xml:space="preserve">Surveillance at ASIC refers to the </w:t>
      </w:r>
      <w:r w:rsidR="009436E3" w:rsidRPr="00BE4634">
        <w:t>review</w:t>
      </w:r>
      <w:r w:rsidRPr="5C921D63">
        <w:t xml:space="preserve"> of entities</w:t>
      </w:r>
      <w:r w:rsidR="009436E3" w:rsidRPr="00BE4634">
        <w:t xml:space="preserve">, individuals, </w:t>
      </w:r>
      <w:r w:rsidRPr="5C921D63">
        <w:t>products</w:t>
      </w:r>
      <w:r w:rsidR="009436E3" w:rsidRPr="00BE4634">
        <w:t>, practices, transactions or industry sectors, to identify misconduct or harm, understand or influence behaviours, drive compliance or promote good consumer or investor outcomes</w:t>
      </w:r>
      <w:r w:rsidR="009436E3">
        <w:t>.</w:t>
      </w:r>
      <w:r w:rsidRPr="5C921D63">
        <w:t xml:space="preserve"> Th</w:t>
      </w:r>
      <w:r>
        <w:t>is</w:t>
      </w:r>
      <w:r w:rsidRPr="5C921D63">
        <w:t xml:space="preserve"> </w:t>
      </w:r>
      <w:r w:rsidR="004D4914">
        <w:t>r</w:t>
      </w:r>
      <w:r w:rsidRPr="5C921D63">
        <w:t>eview has examined the processes involved in the different types of surveillance, including how ASIC makes decisions about the prioritisation and resourcing of surveillance activities. It considers to what extent ASIC</w:t>
      </w:r>
      <w:r w:rsidR="00EF40B0">
        <w:t>’</w:t>
      </w:r>
      <w:r w:rsidRPr="5C921D63">
        <w:t>s surveillances are targeted, efficient and proportionate</w:t>
      </w:r>
      <w:r w:rsidR="00CE41E7">
        <w:t>,</w:t>
      </w:r>
      <w:r w:rsidRPr="5C921D63">
        <w:t xml:space="preserve"> and whether they are effective. Th</w:t>
      </w:r>
      <w:r>
        <w:t>is</w:t>
      </w:r>
      <w:r w:rsidRPr="5C921D63">
        <w:t xml:space="preserve"> </w:t>
      </w:r>
      <w:r w:rsidR="004D4914">
        <w:t>r</w:t>
      </w:r>
      <w:r w:rsidRPr="5C921D63">
        <w:t>eview does not examine</w:t>
      </w:r>
      <w:r w:rsidRPr="5C921D63">
        <w:rPr>
          <w:color w:val="242424"/>
          <w:shd w:val="clear" w:color="auto" w:fill="FFFFFF"/>
        </w:rPr>
        <w:t xml:space="preserve"> </w:t>
      </w:r>
      <w:r w:rsidRPr="5C921D63">
        <w:t xml:space="preserve">the process for submitting or triaging reports of misconduct and breach reports, single cases or instances of surveillances, or subsequent enforcement action. </w:t>
      </w:r>
    </w:p>
    <w:p w14:paraId="36C5ACB4" w14:textId="77777777" w:rsidR="00DA3518" w:rsidRPr="006D3523" w:rsidRDefault="00DA3518" w:rsidP="00A51761">
      <w:pPr>
        <w:pStyle w:val="Heading3"/>
        <w:rPr>
          <w:rFonts w:asciiTheme="minorHAnsi" w:hAnsiTheme="minorHAnsi" w:cstheme="minorHAnsi"/>
        </w:rPr>
      </w:pPr>
      <w:bookmarkStart w:id="42" w:name="_Toc108786419"/>
      <w:r w:rsidRPr="00B30028">
        <w:t>Licensing</w:t>
      </w:r>
      <w:bookmarkEnd w:id="42"/>
    </w:p>
    <w:p w14:paraId="587F3813" w14:textId="7C18E9DA" w:rsidR="00DA3518" w:rsidRPr="006D3523" w:rsidRDefault="00DA3518" w:rsidP="00975036">
      <w:pPr>
        <w:pStyle w:val="numberedtext"/>
        <w:numPr>
          <w:ilvl w:val="1"/>
          <w:numId w:val="14"/>
        </w:numPr>
      </w:pPr>
      <w:r w:rsidRPr="5C921D63">
        <w:t>ASIC</w:t>
      </w:r>
      <w:r w:rsidR="00EF40B0">
        <w:t>’</w:t>
      </w:r>
      <w:r w:rsidRPr="5C921D63">
        <w:t>s licensing function governs entry into the financial system. It</w:t>
      </w:r>
      <w:r>
        <w:t xml:space="preserve"> </w:t>
      </w:r>
      <w:r w:rsidRPr="5C921D63">
        <w:t>is an important element of ASIC</w:t>
      </w:r>
      <w:r w:rsidR="00EF40B0">
        <w:t>’</w:t>
      </w:r>
      <w:r w:rsidRPr="5C921D63">
        <w:t xml:space="preserve">s regulatory toolkit to ensure financial service providers </w:t>
      </w:r>
      <w:r>
        <w:t>comply</w:t>
      </w:r>
      <w:r w:rsidRPr="5C921D63">
        <w:t xml:space="preserve"> with legislative obligations and that competition and innovation are supported in accordance with ASIC</w:t>
      </w:r>
      <w:r w:rsidR="00EF40B0">
        <w:t>’</w:t>
      </w:r>
      <w:r w:rsidRPr="5C921D63">
        <w:t>s statutory mandate.</w:t>
      </w:r>
    </w:p>
    <w:p w14:paraId="23972412" w14:textId="6BB1F5EC" w:rsidR="00DA3518" w:rsidRPr="006D3523" w:rsidRDefault="00DA3518" w:rsidP="00975036">
      <w:pPr>
        <w:pStyle w:val="numberedtext"/>
        <w:numPr>
          <w:ilvl w:val="1"/>
          <w:numId w:val="14"/>
        </w:numPr>
      </w:pPr>
      <w:r>
        <w:t xml:space="preserve">The </w:t>
      </w:r>
      <w:r w:rsidRPr="5C921D63">
        <w:t>FRAA has assessed ASIC</w:t>
      </w:r>
      <w:r w:rsidR="00EF40B0">
        <w:t>’</w:t>
      </w:r>
      <w:r w:rsidRPr="5C921D63">
        <w:t xml:space="preserve">s receipt, processing, and granting of licences and registrations for regulated entities and individuals. </w:t>
      </w:r>
    </w:p>
    <w:p w14:paraId="4DF8920C" w14:textId="61C3F60B" w:rsidR="00027972" w:rsidRPr="003A2885" w:rsidRDefault="00027972" w:rsidP="00027972">
      <w:pPr>
        <w:pStyle w:val="Tabletext"/>
        <w:numPr>
          <w:ilvl w:val="1"/>
          <w:numId w:val="14"/>
        </w:numPr>
        <w:rPr>
          <w:sz w:val="22"/>
        </w:rPr>
      </w:pPr>
      <w:bookmarkStart w:id="43" w:name="_Toc108786420"/>
      <w:r>
        <w:rPr>
          <w:sz w:val="22"/>
        </w:rPr>
        <w:t>I</w:t>
      </w:r>
      <w:r w:rsidRPr="003A2885">
        <w:rPr>
          <w:sz w:val="22"/>
        </w:rPr>
        <w:t xml:space="preserve">n </w:t>
      </w:r>
      <w:r w:rsidRPr="00EB0D29">
        <w:rPr>
          <w:sz w:val="22"/>
        </w:rPr>
        <w:t xml:space="preserve">a future </w:t>
      </w:r>
      <w:r w:rsidRPr="003A2885">
        <w:rPr>
          <w:sz w:val="22"/>
        </w:rPr>
        <w:t>review</w:t>
      </w:r>
      <w:r w:rsidRPr="00845C7C">
        <w:rPr>
          <w:sz w:val="22"/>
        </w:rPr>
        <w:t xml:space="preserve"> of ASIC</w:t>
      </w:r>
      <w:r w:rsidR="00EF40B0">
        <w:rPr>
          <w:sz w:val="22"/>
        </w:rPr>
        <w:t>’</w:t>
      </w:r>
      <w:r w:rsidRPr="00845C7C">
        <w:rPr>
          <w:sz w:val="22"/>
        </w:rPr>
        <w:t xml:space="preserve">s enforcement function, </w:t>
      </w:r>
      <w:r>
        <w:rPr>
          <w:sz w:val="22"/>
        </w:rPr>
        <w:t xml:space="preserve">the FRAA will assess decisions relating to </w:t>
      </w:r>
      <w:r w:rsidRPr="00845C7C">
        <w:rPr>
          <w:sz w:val="22"/>
        </w:rPr>
        <w:t>licence and registration variations</w:t>
      </w:r>
      <w:r>
        <w:rPr>
          <w:sz w:val="22"/>
        </w:rPr>
        <w:t xml:space="preserve">, </w:t>
      </w:r>
      <w:r w:rsidRPr="00845C7C">
        <w:rPr>
          <w:sz w:val="22"/>
        </w:rPr>
        <w:t>cancellation</w:t>
      </w:r>
      <w:r>
        <w:rPr>
          <w:sz w:val="22"/>
        </w:rPr>
        <w:t xml:space="preserve">s and conditions </w:t>
      </w:r>
      <w:r w:rsidRPr="00845C7C">
        <w:rPr>
          <w:sz w:val="22"/>
        </w:rPr>
        <w:t>impos</w:t>
      </w:r>
      <w:r>
        <w:rPr>
          <w:sz w:val="22"/>
        </w:rPr>
        <w:t>ed</w:t>
      </w:r>
      <w:r w:rsidRPr="003A2885">
        <w:rPr>
          <w:sz w:val="22"/>
        </w:rPr>
        <w:t>.</w:t>
      </w:r>
    </w:p>
    <w:p w14:paraId="25E0C5EC" w14:textId="1B49D173" w:rsidR="00AA62E2" w:rsidRPr="002A14A3" w:rsidRDefault="00AA62E2" w:rsidP="004A147B">
      <w:pPr>
        <w:pStyle w:val="Heading3"/>
      </w:pPr>
      <w:r w:rsidRPr="00D16698">
        <w:t>Methodology</w:t>
      </w:r>
      <w:bookmarkEnd w:id="43"/>
    </w:p>
    <w:p w14:paraId="3B15C068" w14:textId="36D35EAC" w:rsidR="00DA3518" w:rsidRPr="006D3523" w:rsidRDefault="00AA62E2" w:rsidP="00975036">
      <w:pPr>
        <w:pStyle w:val="numberedtext"/>
        <w:numPr>
          <w:ilvl w:val="1"/>
          <w:numId w:val="14"/>
        </w:numPr>
      </w:pPr>
      <w:r>
        <w:t>During</w:t>
      </w:r>
      <w:r w:rsidR="00F82C39" w:rsidRPr="5C921D63">
        <w:t xml:space="preserve"> the course </w:t>
      </w:r>
      <w:r w:rsidR="00F82C39">
        <w:t>of</w:t>
      </w:r>
      <w:r w:rsidR="00DA3518">
        <w:t xml:space="preserve"> this</w:t>
      </w:r>
      <w:r w:rsidR="00DA3518" w:rsidRPr="5C921D63">
        <w:t xml:space="preserve"> </w:t>
      </w:r>
      <w:r w:rsidR="004D4914">
        <w:t>r</w:t>
      </w:r>
      <w:r w:rsidR="00DA3518" w:rsidRPr="5C921D63">
        <w:t>eview</w:t>
      </w:r>
      <w:r w:rsidR="00DA3518">
        <w:t>,</w:t>
      </w:r>
      <w:r w:rsidR="00DA3518" w:rsidRPr="5C921D63">
        <w:t xml:space="preserve"> the FRAA has used information, feedback and data gathered from:</w:t>
      </w:r>
    </w:p>
    <w:p w14:paraId="4C832F2C" w14:textId="77777777" w:rsidR="00DA3518" w:rsidRPr="006D3523" w:rsidRDefault="0D21CCF0" w:rsidP="00AC2839">
      <w:pPr>
        <w:pStyle w:val="Bullet"/>
      </w:pPr>
      <w:r>
        <w:t xml:space="preserve">a </w:t>
      </w:r>
      <w:r w:rsidRPr="00AC2839">
        <w:t>public</w:t>
      </w:r>
      <w:r>
        <w:t xml:space="preserve"> consultation process </w:t>
      </w:r>
    </w:p>
    <w:p w14:paraId="5FB57935" w14:textId="77777777" w:rsidR="00DA3518" w:rsidRPr="006D3523" w:rsidRDefault="00DA3518" w:rsidP="00AC2839">
      <w:pPr>
        <w:pStyle w:val="Bullet"/>
      </w:pPr>
      <w:r w:rsidRPr="00AC2839">
        <w:t>targeted</w:t>
      </w:r>
      <w:r>
        <w:t xml:space="preserve"> consultation</w:t>
      </w:r>
      <w:r w:rsidRPr="006D3523">
        <w:t xml:space="preserve"> with a broad range of stakeholders </w:t>
      </w:r>
    </w:p>
    <w:p w14:paraId="4FF7D85E" w14:textId="7F9B8833" w:rsidR="00DA3518" w:rsidRPr="006D3523" w:rsidRDefault="00DA3518" w:rsidP="00AC2839">
      <w:pPr>
        <w:pStyle w:val="Bullet"/>
      </w:pPr>
      <w:r w:rsidRPr="006D3523">
        <w:t xml:space="preserve">a </w:t>
      </w:r>
      <w:r w:rsidRPr="00AC2839">
        <w:t>self</w:t>
      </w:r>
      <w:r w:rsidR="00EF40B0">
        <w:noBreakHyphen/>
      </w:r>
      <w:r w:rsidRPr="006D3523">
        <w:t>assessment undertaken by ASIC and data provided as part of subsequent requests</w:t>
      </w:r>
    </w:p>
    <w:p w14:paraId="7234807C" w14:textId="77777777" w:rsidR="00DA3518" w:rsidRPr="006D3523" w:rsidRDefault="00DA3518" w:rsidP="00AC2839">
      <w:pPr>
        <w:pStyle w:val="Bullet"/>
      </w:pPr>
      <w:r w:rsidRPr="006D3523">
        <w:t xml:space="preserve">a </w:t>
      </w:r>
      <w:r w:rsidRPr="00AC2839">
        <w:t>survey</w:t>
      </w:r>
      <w:r w:rsidRPr="006D3523">
        <w:t xml:space="preserve"> of ASIC staff</w:t>
      </w:r>
    </w:p>
    <w:p w14:paraId="63321C4A" w14:textId="77777777" w:rsidR="00DA3518" w:rsidRPr="006D3523" w:rsidRDefault="00DA3518" w:rsidP="00AC2839">
      <w:pPr>
        <w:pStyle w:val="Bullet"/>
      </w:pPr>
      <w:r w:rsidRPr="00AC2839">
        <w:t>interviews</w:t>
      </w:r>
      <w:r>
        <w:t xml:space="preserve"> of ASIC commissioners and executives and senior staff focus groups</w:t>
      </w:r>
    </w:p>
    <w:p w14:paraId="14743DD8" w14:textId="77777777" w:rsidR="00DA3518" w:rsidRPr="006D3523" w:rsidRDefault="00DA3518" w:rsidP="00AC2839">
      <w:pPr>
        <w:pStyle w:val="Bullet"/>
      </w:pPr>
      <w:r w:rsidRPr="006D3523">
        <w:t xml:space="preserve">a </w:t>
      </w:r>
      <w:r w:rsidRPr="00AC2839">
        <w:t>survey</w:t>
      </w:r>
      <w:r w:rsidRPr="006D3523">
        <w:t xml:space="preserve"> of </w:t>
      </w:r>
      <w:r>
        <w:t xml:space="preserve">stakeholders including </w:t>
      </w:r>
      <w:r w:rsidRPr="006D3523">
        <w:t>consumer advocacy bodies and regulated entities</w:t>
      </w:r>
    </w:p>
    <w:p w14:paraId="4A753DB7" w14:textId="17354053" w:rsidR="00DA3518" w:rsidRPr="006D3523" w:rsidRDefault="00DA3518" w:rsidP="00AC2839">
      <w:pPr>
        <w:pStyle w:val="Bullet"/>
      </w:pPr>
      <w:r w:rsidRPr="00AC2839">
        <w:t>consultation</w:t>
      </w:r>
      <w:r w:rsidRPr="006D3523">
        <w:t xml:space="preserve"> with </w:t>
      </w:r>
      <w:r>
        <w:t>consumer advocacy bodies</w:t>
      </w:r>
    </w:p>
    <w:p w14:paraId="0ECD82CE" w14:textId="1BA50190" w:rsidR="00DA3518" w:rsidRPr="006D3523" w:rsidRDefault="00566E41" w:rsidP="00AC2839">
      <w:pPr>
        <w:pStyle w:val="Bullet"/>
      </w:pPr>
      <w:r w:rsidRPr="00AC2839">
        <w:t>consultation</w:t>
      </w:r>
      <w:r>
        <w:t xml:space="preserve"> with</w:t>
      </w:r>
      <w:r w:rsidR="00DA3518">
        <w:t xml:space="preserve"> </w:t>
      </w:r>
      <w:r w:rsidR="00DA3518" w:rsidRPr="006D3523">
        <w:t>domestic and international peer regulator</w:t>
      </w:r>
      <w:r w:rsidR="005F60C9">
        <w:t>s</w:t>
      </w:r>
    </w:p>
    <w:p w14:paraId="7D1FCCD5" w14:textId="3651A69B" w:rsidR="00DA3518" w:rsidRPr="006252FD" w:rsidRDefault="00DA3518" w:rsidP="00AC2839">
      <w:pPr>
        <w:pStyle w:val="Bullet"/>
      </w:pPr>
      <w:r w:rsidRPr="006252FD">
        <w:t xml:space="preserve">a </w:t>
      </w:r>
      <w:r w:rsidRPr="00AC2839">
        <w:t>roundtable</w:t>
      </w:r>
      <w:r w:rsidRPr="006252FD">
        <w:t xml:space="preserve"> meeting of academics</w:t>
      </w:r>
      <w:r w:rsidR="00F96AEF">
        <w:t>.</w:t>
      </w:r>
    </w:p>
    <w:p w14:paraId="480209D4" w14:textId="665DC1C7" w:rsidR="00AA62E2" w:rsidRPr="00BB64FC" w:rsidRDefault="00AA62E2" w:rsidP="00975036">
      <w:pPr>
        <w:pStyle w:val="numberedtext"/>
        <w:numPr>
          <w:ilvl w:val="1"/>
          <w:numId w:val="14"/>
        </w:numPr>
      </w:pPr>
      <w:r>
        <w:t xml:space="preserve">See </w:t>
      </w:r>
      <w:r w:rsidR="00A6032A" w:rsidRPr="00AD1B55">
        <w:t>Appendix A: Methodology of th</w:t>
      </w:r>
      <w:r w:rsidR="00A6032A">
        <w:t>is</w:t>
      </w:r>
      <w:r w:rsidR="00A6032A" w:rsidRPr="00AD1B55">
        <w:t xml:space="preserve"> </w:t>
      </w:r>
      <w:r w:rsidR="00A6032A">
        <w:t>r</w:t>
      </w:r>
      <w:r w:rsidR="00A6032A" w:rsidRPr="00AD1B55">
        <w:t>eview</w:t>
      </w:r>
      <w:r>
        <w:t xml:space="preserve"> for</w:t>
      </w:r>
      <w:r w:rsidRPr="5C921D63">
        <w:t xml:space="preserve"> </w:t>
      </w:r>
      <w:r>
        <w:t xml:space="preserve">further information on the methodology of </w:t>
      </w:r>
      <w:r w:rsidRPr="457321EB">
        <w:t>this</w:t>
      </w:r>
      <w:r>
        <w:t xml:space="preserve"> </w:t>
      </w:r>
      <w:r w:rsidR="004D4914">
        <w:t>r</w:t>
      </w:r>
      <w:r>
        <w:t>eview.</w:t>
      </w:r>
    </w:p>
    <w:p w14:paraId="028255BF" w14:textId="77777777" w:rsidR="00DA3518" w:rsidRPr="006D3523" w:rsidRDefault="00DA3518" w:rsidP="00DA3518">
      <w:pPr>
        <w:pStyle w:val="numberedtext"/>
        <w:ind w:left="567" w:firstLine="0"/>
        <w:rPr>
          <w:rFonts w:cstheme="minorHAnsi"/>
        </w:rPr>
      </w:pPr>
    </w:p>
    <w:p w14:paraId="5D202F97" w14:textId="77777777" w:rsidR="003F2F81" w:rsidRPr="00197904" w:rsidRDefault="003F2F81" w:rsidP="00197904"/>
    <w:p w14:paraId="7A6CC9F8" w14:textId="77777777" w:rsidR="00447FFA" w:rsidRDefault="00447FFA" w:rsidP="00B96E03">
      <w:pPr>
        <w:pStyle w:val="Heading1"/>
        <w:sectPr w:rsidR="00447FFA" w:rsidSect="00EC236D">
          <w:headerReference w:type="default" r:id="rId37"/>
          <w:pgSz w:w="11906" w:h="16838" w:code="9"/>
          <w:pgMar w:top="1417" w:right="1417" w:bottom="1417" w:left="1417" w:header="709" w:footer="709" w:gutter="0"/>
          <w:cols w:space="708"/>
          <w:docGrid w:linePitch="360"/>
        </w:sectPr>
      </w:pPr>
    </w:p>
    <w:p w14:paraId="4E333F74" w14:textId="5203ED7D" w:rsidR="009B1E32" w:rsidRDefault="00840145" w:rsidP="007D506D">
      <w:pPr>
        <w:pStyle w:val="Heading1"/>
      </w:pPr>
      <w:bookmarkStart w:id="44" w:name="_Toc110241813"/>
      <w:bookmarkStart w:id="45" w:name="_Ref110261619"/>
      <w:bookmarkStart w:id="46" w:name="_Ref110261757"/>
      <w:r w:rsidRPr="00E474CC">
        <w:lastRenderedPageBreak/>
        <w:t>Chapter 2:</w:t>
      </w:r>
      <w:r w:rsidR="00E474CC" w:rsidRPr="00E474CC">
        <w:t xml:space="preserve"> ASIC</w:t>
      </w:r>
      <w:r w:rsidR="00EF40B0">
        <w:t>’</w:t>
      </w:r>
      <w:r w:rsidR="00E474CC" w:rsidRPr="00E474CC">
        <w:t>s role in the Australian financial system</w:t>
      </w:r>
      <w:bookmarkEnd w:id="44"/>
      <w:bookmarkEnd w:id="45"/>
      <w:bookmarkEnd w:id="46"/>
    </w:p>
    <w:p w14:paraId="6031028A" w14:textId="77777777" w:rsidR="00485854" w:rsidRPr="00A86C9E" w:rsidRDefault="00485854" w:rsidP="00485854">
      <w:pPr>
        <w:pStyle w:val="Heading2"/>
      </w:pPr>
      <w:bookmarkStart w:id="47" w:name="_Toc110241814"/>
      <w:r w:rsidRPr="00A86C9E">
        <w:rPr>
          <w:rFonts w:eastAsiaTheme="minorEastAsia"/>
        </w:rPr>
        <w:t>Introduction</w:t>
      </w:r>
      <w:bookmarkEnd w:id="47"/>
      <w:r w:rsidRPr="00A86C9E">
        <w:rPr>
          <w:rFonts w:eastAsiaTheme="minorEastAsia"/>
        </w:rPr>
        <w:t xml:space="preserve"> </w:t>
      </w:r>
    </w:p>
    <w:p w14:paraId="0EFACC58" w14:textId="2788583F" w:rsidR="003D2711" w:rsidRPr="0069601F" w:rsidRDefault="0069601F" w:rsidP="00975036">
      <w:pPr>
        <w:pStyle w:val="numberedtext"/>
        <w:numPr>
          <w:ilvl w:val="1"/>
          <w:numId w:val="12"/>
        </w:numPr>
        <w:ind w:left="567" w:hanging="567"/>
      </w:pPr>
      <w:bookmarkStart w:id="48" w:name="_Toc103249228"/>
      <w:bookmarkStart w:id="49" w:name="_Hlk104627122"/>
      <w:r w:rsidRPr="00416086">
        <w:t xml:space="preserve">This chapter provides an overview of </w:t>
      </w:r>
      <w:r>
        <w:t>the</w:t>
      </w:r>
      <w:r w:rsidR="003D2711" w:rsidRPr="00416086">
        <w:t xml:space="preserve"> regulatory architecture of the Australian financial system and the role ASIC plays. This chapter also traces the growth in ASIC</w:t>
      </w:r>
      <w:r w:rsidR="00EF40B0">
        <w:t>’</w:t>
      </w:r>
      <w:r w:rsidR="003D2711" w:rsidRPr="00416086">
        <w:t xml:space="preserve">s legislative mandate and regulated population, references its funding and resourcing profile and makes international comparisons where possible. </w:t>
      </w:r>
    </w:p>
    <w:p w14:paraId="467E0A29" w14:textId="77777777" w:rsidR="003D2711" w:rsidRDefault="003D2711" w:rsidP="003D2711">
      <w:pPr>
        <w:pStyle w:val="Heading2"/>
        <w:rPr>
          <w:rFonts w:eastAsiaTheme="minorHAnsi"/>
        </w:rPr>
      </w:pPr>
      <w:bookmarkStart w:id="50" w:name="_Toc110241815"/>
      <w:r>
        <w:rPr>
          <w:rFonts w:eastAsiaTheme="minorHAnsi"/>
        </w:rPr>
        <w:t xml:space="preserve">Financial system </w:t>
      </w:r>
      <w:r w:rsidRPr="00D701A7">
        <w:rPr>
          <w:rFonts w:eastAsiaTheme="minorHAnsi"/>
        </w:rPr>
        <w:t>regulators</w:t>
      </w:r>
      <w:bookmarkEnd w:id="50"/>
      <w:r>
        <w:rPr>
          <w:rFonts w:eastAsiaTheme="minorHAnsi"/>
        </w:rPr>
        <w:t xml:space="preserve">  </w:t>
      </w:r>
    </w:p>
    <w:p w14:paraId="6C589797" w14:textId="01F12BAC" w:rsidR="003D2711" w:rsidRDefault="003D2711" w:rsidP="00975036">
      <w:pPr>
        <w:pStyle w:val="numberedtext"/>
        <w:numPr>
          <w:ilvl w:val="1"/>
          <w:numId w:val="12"/>
        </w:numPr>
        <w:ind w:left="567" w:hanging="567"/>
      </w:pPr>
      <w:r w:rsidRPr="34768C2B">
        <w:t xml:space="preserve">The regulatory architecture of the Australian financial system follows the </w:t>
      </w:r>
      <w:r w:rsidR="00EF40B0">
        <w:t>‘</w:t>
      </w:r>
      <w:r w:rsidRPr="34768C2B">
        <w:t>twin peaks</w:t>
      </w:r>
      <w:r w:rsidR="00EF40B0">
        <w:t>’</w:t>
      </w:r>
      <w:r w:rsidRPr="34768C2B">
        <w:t xml:space="preserve"> model, which was introduced following recommendations from the 1996 Financial System Inquiry.</w:t>
      </w:r>
      <w:r>
        <w:rPr>
          <w:rStyle w:val="FootnoteReference"/>
        </w:rPr>
        <w:footnoteReference w:id="22"/>
      </w:r>
      <w:r w:rsidRPr="34768C2B">
        <w:t xml:space="preserve"> Under the </w:t>
      </w:r>
      <w:r w:rsidR="00EF40B0">
        <w:t>‘</w:t>
      </w:r>
      <w:r w:rsidRPr="34768C2B">
        <w:t>twin peaks</w:t>
      </w:r>
      <w:r w:rsidR="00EF40B0">
        <w:t>’</w:t>
      </w:r>
      <w:r w:rsidRPr="34768C2B">
        <w:t xml:space="preserve"> model, financial regulation is separated between </w:t>
      </w:r>
      <w:r w:rsidR="00F57B3C">
        <w:t>2</w:t>
      </w:r>
      <w:r w:rsidR="00F57B3C" w:rsidRPr="34768C2B">
        <w:t xml:space="preserve"> </w:t>
      </w:r>
      <w:r w:rsidRPr="34768C2B">
        <w:t xml:space="preserve">authorities, with one that is responsible for market conduct regulation (ASIC); and a second that is responsible for prudential regulation and promoting financial system stability (APRA). The smooth operation of the </w:t>
      </w:r>
      <w:r w:rsidR="00EF40B0">
        <w:t>‘</w:t>
      </w:r>
      <w:r w:rsidRPr="34768C2B">
        <w:t>twin peaks</w:t>
      </w:r>
      <w:r w:rsidR="00EF40B0">
        <w:t>’</w:t>
      </w:r>
      <w:r w:rsidRPr="34768C2B">
        <w:t xml:space="preserve"> model requires proactive cooperation, coordination and engagement between ASIC and APRA to strengthen their effectiveness and contribute to efficient regulatory outcomes across the financial system. </w:t>
      </w:r>
    </w:p>
    <w:p w14:paraId="1DBC6DC0" w14:textId="37693A33" w:rsidR="003D2711" w:rsidRPr="00F84FCA" w:rsidRDefault="003D2711" w:rsidP="00975036">
      <w:pPr>
        <w:pStyle w:val="numberedtext"/>
        <w:numPr>
          <w:ilvl w:val="1"/>
          <w:numId w:val="12"/>
        </w:numPr>
        <w:ind w:left="567" w:hanging="567"/>
      </w:pPr>
      <w:r w:rsidRPr="00F84FCA">
        <w:t xml:space="preserve">In addition to these </w:t>
      </w:r>
      <w:r w:rsidR="00572E28">
        <w:t>2</w:t>
      </w:r>
      <w:r w:rsidRPr="00F84FCA">
        <w:t xml:space="preserve"> regulators, </w:t>
      </w:r>
      <w:r>
        <w:t xml:space="preserve">the </w:t>
      </w:r>
      <w:r w:rsidRPr="00F84FCA">
        <w:t>Reserve Bank of Australia (RBA) is responsible for monetary policy, financial system stability and payments systems and the Australian Competition and Consumer Commission (ACCC) is responsible for the proper function of markets, fair trading, and promoting competition to improve consumer welfare. While both ASIC and the ACCC share jurisdiction for consumer protection laws, ASIC is responsible for consumer protection laws applying to financial products, services and credit</w:t>
      </w:r>
      <w:r w:rsidR="00860193">
        <w:t>. T</w:t>
      </w:r>
      <w:r w:rsidRPr="00F84FCA">
        <w:t xml:space="preserve">he ACCC </w:t>
      </w:r>
      <w:r>
        <w:t xml:space="preserve">is </w:t>
      </w:r>
      <w:r w:rsidRPr="00F84FCA">
        <w:t xml:space="preserve">responsible for those laws as they apply to all other products and services. </w:t>
      </w:r>
    </w:p>
    <w:p w14:paraId="60CB15D2" w14:textId="77777777" w:rsidR="003D2711" w:rsidRPr="00922993" w:rsidRDefault="003D2711" w:rsidP="003D2711">
      <w:pPr>
        <w:pStyle w:val="Heading2"/>
        <w:rPr>
          <w:rFonts w:eastAsiaTheme="minorHAnsi"/>
        </w:rPr>
      </w:pPr>
      <w:bookmarkStart w:id="51" w:name="_Toc110241816"/>
      <w:r>
        <w:rPr>
          <w:rFonts w:eastAsiaTheme="minorHAnsi"/>
        </w:rPr>
        <w:t xml:space="preserve">Statutory </w:t>
      </w:r>
      <w:r w:rsidRPr="00D701A7">
        <w:rPr>
          <w:rFonts w:eastAsiaTheme="minorHAnsi"/>
        </w:rPr>
        <w:t>mandate</w:t>
      </w:r>
      <w:bookmarkEnd w:id="51"/>
      <w:r>
        <w:rPr>
          <w:rFonts w:eastAsiaTheme="minorHAnsi"/>
        </w:rPr>
        <w:t xml:space="preserve"> </w:t>
      </w:r>
    </w:p>
    <w:p w14:paraId="748E3AC9" w14:textId="05FC7191" w:rsidR="003D2711" w:rsidRDefault="003D2711" w:rsidP="00975036">
      <w:pPr>
        <w:pStyle w:val="numberedtext"/>
        <w:numPr>
          <w:ilvl w:val="1"/>
          <w:numId w:val="12"/>
        </w:numPr>
        <w:ind w:left="567" w:hanging="567"/>
      </w:pPr>
      <w:r w:rsidRPr="005C5B59">
        <w:t xml:space="preserve">The </w:t>
      </w:r>
      <w:r w:rsidRPr="005C5B59">
        <w:rPr>
          <w:i/>
          <w:iCs/>
        </w:rPr>
        <w:t>Australian Securities and Investments Commission Act 2001</w:t>
      </w:r>
      <w:r w:rsidRPr="005C5B59">
        <w:t xml:space="preserve"> (ASIC Act) establishes ASIC as an</w:t>
      </w:r>
      <w:r>
        <w:t xml:space="preserve"> independent Commonwealth</w:t>
      </w:r>
      <w:r w:rsidRPr="005C5B59">
        <w:t xml:space="preserve"> statutory body to administer and enforce the ASIC Act, </w:t>
      </w:r>
      <w:r w:rsidRPr="005C5B59">
        <w:rPr>
          <w:i/>
          <w:iCs/>
        </w:rPr>
        <w:t xml:space="preserve">Corporations Act 2001 </w:t>
      </w:r>
      <w:r w:rsidRPr="005C5B59">
        <w:t>(Corporations Act) and other legislation.</w:t>
      </w:r>
      <w:r>
        <w:rPr>
          <w:rStyle w:val="FootnoteReference"/>
        </w:rPr>
        <w:footnoteReference w:id="23"/>
      </w:r>
      <w:r w:rsidRPr="005C5B59">
        <w:t xml:space="preserve"> </w:t>
      </w:r>
      <w:r>
        <w:t>ASIC</w:t>
      </w:r>
      <w:r w:rsidR="00EF40B0">
        <w:t>’</w:t>
      </w:r>
      <w:r>
        <w:t>s statutory functions are:</w:t>
      </w:r>
    </w:p>
    <w:p w14:paraId="0F7222C4" w14:textId="144D6BFE" w:rsidR="003D2711" w:rsidRDefault="003D2711" w:rsidP="00AC2839">
      <w:pPr>
        <w:pStyle w:val="Bullet"/>
      </w:pPr>
      <w:r>
        <w:t xml:space="preserve">monitoring and promoting market integrity and consumer protection in relation to the Australian </w:t>
      </w:r>
      <w:r w:rsidRPr="00AC2839">
        <w:t>financial</w:t>
      </w:r>
      <w:r>
        <w:t xml:space="preserve"> system</w:t>
      </w:r>
    </w:p>
    <w:p w14:paraId="3752E837" w14:textId="77777777" w:rsidR="009229F3" w:rsidRDefault="003D2711" w:rsidP="00AC2839">
      <w:pPr>
        <w:pStyle w:val="Bullet"/>
        <w:keepNext/>
      </w:pPr>
      <w:r>
        <w:lastRenderedPageBreak/>
        <w:t xml:space="preserve">monitoring and promoting market integrity and consumer protection in relation to the payments </w:t>
      </w:r>
      <w:r w:rsidRPr="00AC2839">
        <w:t>system</w:t>
      </w:r>
      <w:r>
        <w:t xml:space="preserve"> by:</w:t>
      </w:r>
    </w:p>
    <w:p w14:paraId="496351D9" w14:textId="5A258C57" w:rsidR="009229F3" w:rsidRPr="00AC2839" w:rsidRDefault="003D2711" w:rsidP="00AC2839">
      <w:pPr>
        <w:pStyle w:val="Dash"/>
      </w:pPr>
      <w:r w:rsidRPr="00AC2839">
        <w:t>promoting the adoption of approved industry standards and codes of practice</w:t>
      </w:r>
    </w:p>
    <w:p w14:paraId="38077685" w14:textId="128DB65E" w:rsidR="009229F3" w:rsidRPr="00AC2839" w:rsidRDefault="003D2711" w:rsidP="00AC2839">
      <w:pPr>
        <w:pStyle w:val="Dash"/>
      </w:pPr>
      <w:r w:rsidRPr="00AC2839">
        <w:t>promoting the protection of consumer interests</w:t>
      </w:r>
    </w:p>
    <w:p w14:paraId="5152AF7F" w14:textId="46124FBB" w:rsidR="009229F3" w:rsidRPr="00AC2839" w:rsidRDefault="003D2711" w:rsidP="00AC2839">
      <w:pPr>
        <w:pStyle w:val="Dash"/>
      </w:pPr>
      <w:r w:rsidRPr="00AC2839">
        <w:t xml:space="preserve">promoting community awareness of payment system issues </w:t>
      </w:r>
    </w:p>
    <w:p w14:paraId="70A6AE38" w14:textId="7E275805" w:rsidR="00AE2C76" w:rsidRPr="00AC2839" w:rsidRDefault="00AE2C76" w:rsidP="00AC2839">
      <w:pPr>
        <w:pStyle w:val="Dash"/>
      </w:pPr>
      <w:r w:rsidRPr="00AC2839">
        <w:t>promoting sound customer</w:t>
      </w:r>
      <w:r w:rsidR="00EF40B0" w:rsidRPr="00AC2839">
        <w:noBreakHyphen/>
      </w:r>
      <w:r w:rsidRPr="00AC2839">
        <w:t>banker relationships, including through monitoring the operation of industry standards and codes of practice</w:t>
      </w:r>
    </w:p>
    <w:p w14:paraId="29061894" w14:textId="0D463459" w:rsidR="003D2711" w:rsidRDefault="003D2711" w:rsidP="00AC2839">
      <w:pPr>
        <w:pStyle w:val="Dash"/>
      </w:pPr>
      <w:r w:rsidRPr="00AC2839">
        <w:t>monitoring</w:t>
      </w:r>
      <w:r w:rsidRPr="006E06CE">
        <w:t xml:space="preserve"> compliance with such standards and codes.</w:t>
      </w:r>
      <w:r>
        <w:rPr>
          <w:rStyle w:val="FootnoteReference"/>
        </w:rPr>
        <w:footnoteReference w:id="24"/>
      </w:r>
    </w:p>
    <w:p w14:paraId="69E9AA53" w14:textId="77777777" w:rsidR="003D2711" w:rsidRPr="0000096D" w:rsidRDefault="003D2711" w:rsidP="00975036">
      <w:pPr>
        <w:pStyle w:val="numberedtext"/>
        <w:numPr>
          <w:ilvl w:val="1"/>
          <w:numId w:val="12"/>
        </w:numPr>
      </w:pPr>
      <w:r w:rsidRPr="0000096D">
        <w:t>The ASIC Act requires that, in performing its functions and exercising its powers, ASIC must strive to:</w:t>
      </w:r>
    </w:p>
    <w:p w14:paraId="443813B6" w14:textId="6CCE995F" w:rsidR="003D2711" w:rsidRPr="0000096D" w:rsidRDefault="6CC53790" w:rsidP="00AC2839">
      <w:pPr>
        <w:pStyle w:val="Bullet"/>
      </w:pPr>
      <w:r w:rsidRPr="00AC2839">
        <w:t>maintain</w:t>
      </w:r>
      <w:r>
        <w:t>, facilitate and improve the performance of the financial system and the entities within that system in the interests of commercial certainty, reducing business costs, and the efficiency and development of the economy</w:t>
      </w:r>
    </w:p>
    <w:p w14:paraId="3658F3A0" w14:textId="29A12BBD" w:rsidR="003D2711" w:rsidRPr="0000096D" w:rsidRDefault="003D2711" w:rsidP="00AC2839">
      <w:pPr>
        <w:pStyle w:val="Bullet"/>
      </w:pPr>
      <w:r w:rsidRPr="00AC2839">
        <w:t>promote</w:t>
      </w:r>
      <w:r>
        <w:t xml:space="preserve"> the confident and informed participation of investors and consumers in the financial system</w:t>
      </w:r>
    </w:p>
    <w:p w14:paraId="0D87180C" w14:textId="72516E99" w:rsidR="003D2711" w:rsidRPr="0000096D" w:rsidRDefault="003D2711" w:rsidP="00AC2839">
      <w:pPr>
        <w:pStyle w:val="Bullet"/>
      </w:pPr>
      <w:r>
        <w:t xml:space="preserve">administer the laws that confer functions and powers on it effectively and with a minimum of </w:t>
      </w:r>
      <w:r w:rsidRPr="00AC2839">
        <w:t>procedural</w:t>
      </w:r>
      <w:r>
        <w:t xml:space="preserve"> requirements</w:t>
      </w:r>
    </w:p>
    <w:p w14:paraId="12B22C73" w14:textId="4339D46B" w:rsidR="003D2711" w:rsidRPr="0000096D" w:rsidRDefault="003D2711" w:rsidP="00AC2839">
      <w:pPr>
        <w:pStyle w:val="Bullet"/>
      </w:pPr>
      <w:r>
        <w:t xml:space="preserve">receive, process and store, efficiently and quickly, the information given to ASIC under the laws </w:t>
      </w:r>
      <w:r w:rsidRPr="00AC2839">
        <w:t>that</w:t>
      </w:r>
      <w:r>
        <w:t xml:space="preserve"> confer functions and powers on it </w:t>
      </w:r>
    </w:p>
    <w:p w14:paraId="585FF212" w14:textId="753A4D78" w:rsidR="003D2711" w:rsidRDefault="003D2711" w:rsidP="00AC2839">
      <w:pPr>
        <w:pStyle w:val="Bullet"/>
      </w:pPr>
      <w:r>
        <w:t>ensure that information is available as soon as practicable for access by the public</w:t>
      </w:r>
    </w:p>
    <w:p w14:paraId="73D68283" w14:textId="77777777" w:rsidR="003D2711" w:rsidRDefault="003D2711" w:rsidP="00AC2839">
      <w:pPr>
        <w:pStyle w:val="Bullet"/>
      </w:pPr>
      <w:r>
        <w:t xml:space="preserve">take </w:t>
      </w:r>
      <w:r w:rsidRPr="00AC2839">
        <w:t>whatever</w:t>
      </w:r>
      <w:r>
        <w:t xml:space="preserve"> action it can take, and is necessary, in order to enforce and give effect to the laws of the Commonwealth that confer functions and powers on it.</w:t>
      </w:r>
      <w:r>
        <w:rPr>
          <w:rStyle w:val="FootnoteReference"/>
        </w:rPr>
        <w:footnoteReference w:id="25"/>
      </w:r>
    </w:p>
    <w:p w14:paraId="0759E3F7" w14:textId="6D77FF4E" w:rsidR="003D2711" w:rsidRPr="00EB3B1A" w:rsidRDefault="003D2711" w:rsidP="00975036">
      <w:pPr>
        <w:pStyle w:val="numberedtext"/>
        <w:numPr>
          <w:ilvl w:val="1"/>
          <w:numId w:val="12"/>
        </w:numPr>
        <w:ind w:left="567" w:hanging="567"/>
      </w:pPr>
      <w:bookmarkStart w:id="52" w:name="_Ref110262952"/>
      <w:r w:rsidRPr="00EB3B1A">
        <w:t>ASIC</w:t>
      </w:r>
      <w:r w:rsidR="00EF40B0">
        <w:t>’</w:t>
      </w:r>
      <w:r w:rsidRPr="00EB3B1A">
        <w:t xml:space="preserve">s statutory mandate has grown considerably since its establishment in 1991, known then as the Australian Securities Commission. This expansion reflects the growing complex and dynamic global environment </w:t>
      </w:r>
      <w:r w:rsidR="000263D8">
        <w:t xml:space="preserve">in which </w:t>
      </w:r>
      <w:r w:rsidRPr="00EB3B1A">
        <w:t xml:space="preserve">ASIC </w:t>
      </w:r>
      <w:r>
        <w:t>operates</w:t>
      </w:r>
      <w:r w:rsidRPr="00EB3B1A">
        <w:t xml:space="preserve">. </w:t>
      </w:r>
      <w:r w:rsidR="00A6032A" w:rsidRPr="002337D0">
        <w:t xml:space="preserve">Figure </w:t>
      </w:r>
      <w:r w:rsidR="00A6032A">
        <w:t>2.1</w:t>
      </w:r>
      <w:r w:rsidR="00840E20">
        <w:t xml:space="preserve"> </w:t>
      </w:r>
      <w:r w:rsidRPr="00EB3B1A">
        <w:t xml:space="preserve">illustrates a timeline of key legislative reforms made </w:t>
      </w:r>
      <w:r w:rsidR="00A52138">
        <w:t xml:space="preserve">from </w:t>
      </w:r>
      <w:r w:rsidRPr="00EB3B1A">
        <w:t>1991</w:t>
      </w:r>
      <w:r w:rsidR="00A52138">
        <w:t xml:space="preserve"> to 2021</w:t>
      </w:r>
      <w:r w:rsidRPr="00EB3B1A">
        <w:t>.</w:t>
      </w:r>
      <w:bookmarkEnd w:id="52"/>
    </w:p>
    <w:p w14:paraId="77EDB475" w14:textId="406B6FB7" w:rsidR="005D3344" w:rsidRDefault="005D3344" w:rsidP="001655A9">
      <w:pPr>
        <w:pStyle w:val="FigureMainHeading"/>
      </w:pPr>
      <w:bookmarkStart w:id="53" w:name="Figure_2_1"/>
      <w:r w:rsidRPr="002337D0">
        <w:lastRenderedPageBreak/>
        <w:t xml:space="preserve">Figure </w:t>
      </w:r>
      <w:r>
        <w:t>2.1</w:t>
      </w:r>
      <w:bookmarkEnd w:id="53"/>
      <w:r w:rsidRPr="002337D0">
        <w:t>: Changes to ASIC</w:t>
      </w:r>
      <w:r w:rsidR="00EF40B0">
        <w:t>’</w:t>
      </w:r>
      <w:r w:rsidRPr="002337D0">
        <w:t xml:space="preserve">s mandate </w:t>
      </w:r>
      <w:r>
        <w:t>from 1991 to 2021</w:t>
      </w:r>
    </w:p>
    <w:p w14:paraId="7530D387" w14:textId="77777777" w:rsidR="005D3344" w:rsidRDefault="005D3344" w:rsidP="004757A7">
      <w:pPr>
        <w:pStyle w:val="ChartGraphic"/>
        <w:rPr>
          <w:sz w:val="22"/>
        </w:rPr>
      </w:pPr>
      <w:r>
        <w:rPr>
          <w:noProof/>
        </w:rPr>
        <w:drawing>
          <wp:inline distT="0" distB="0" distL="0" distR="0" wp14:anchorId="7259F1A3" wp14:editId="233A2740">
            <wp:extent cx="5493929" cy="7341232"/>
            <wp:effectExtent l="0" t="0" r="0" b="0"/>
            <wp:docPr id="11" name="Picture 11" descr="Figure 2.1 displays a timeline of the changes in ASIC’s statutory mandate from1991 to 2021. The first time point in 1991 lists the Australian Securities Commission’s initial statutory mandate. The following time points from 1998 to 2021 list the large number of changes to the initial statutory mandate reflecting the complex and dynamic environment ASIC operates in. The figure also notes the renaming of the Australian Securities Commission to the Australian Securities and Investments Commission in 199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2.1 displays a timeline of the changes in ASIC’s statutory mandate from1991 to 2021. The first time point in 1991 lists the Australian Securities Commission’s initial statutory mandate. The following time points from 1998 to 2021 list the large number of changes to the initial statutory mandate reflecting the complex and dynamic environment ASIC operates in. The figure also notes the renaming of the Australian Securities Commission to the Australian Securities and Investments Commission in 1998.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93929" cy="7341232"/>
                    </a:xfrm>
                    <a:prstGeom prst="rect">
                      <a:avLst/>
                    </a:prstGeom>
                  </pic:spPr>
                </pic:pic>
              </a:graphicData>
            </a:graphic>
          </wp:inline>
        </w:drawing>
      </w:r>
    </w:p>
    <w:p w14:paraId="6D2FD8F4" w14:textId="753A1375" w:rsidR="003D2711" w:rsidRPr="00E6411A" w:rsidRDefault="003D2711" w:rsidP="001A1CBE">
      <w:pPr>
        <w:pStyle w:val="Source"/>
      </w:pPr>
      <w:r w:rsidRPr="00E6411A">
        <w:t>Source: Treasury</w:t>
      </w:r>
      <w:r w:rsidR="00EC6032">
        <w:t>, 2022.</w:t>
      </w:r>
    </w:p>
    <w:p w14:paraId="5FA2ECAB" w14:textId="55F46DC0" w:rsidR="003D2711" w:rsidRDefault="003D2711" w:rsidP="00975036">
      <w:pPr>
        <w:pStyle w:val="numberedtext"/>
        <w:numPr>
          <w:ilvl w:val="1"/>
          <w:numId w:val="12"/>
        </w:numPr>
        <w:ind w:left="567" w:hanging="567"/>
      </w:pPr>
      <w:r>
        <w:t>Internationally, ASIC</w:t>
      </w:r>
      <w:r w:rsidR="00EF40B0">
        <w:t>’</w:t>
      </w:r>
      <w:r>
        <w:t xml:space="preserve">s statutory mandate is one of the broadest. </w:t>
      </w:r>
      <w:r w:rsidR="00A6032A" w:rsidRPr="005B46B4">
        <w:t xml:space="preserve">Figure </w:t>
      </w:r>
      <w:r w:rsidR="00A6032A">
        <w:t>2.2</w:t>
      </w:r>
      <w:r w:rsidR="00840E20">
        <w:t xml:space="preserve"> </w:t>
      </w:r>
      <w:r>
        <w:t>illustrates</w:t>
      </w:r>
      <w:r w:rsidRPr="00C66885">
        <w:t xml:space="preserve"> that ASIC has a wider regulatory remit than comparable market conduct regulators in overseas jurisdictions, including the United States, United Kingdom, Germany, Netherlands, Hong Kong and New Zealand. Singapore is the only comparable jurisdiction with a wider remit. </w:t>
      </w:r>
    </w:p>
    <w:p w14:paraId="085E48D9" w14:textId="77777777" w:rsidR="003D2711" w:rsidRDefault="003D2711" w:rsidP="003D2711">
      <w:pPr>
        <w:pStyle w:val="numberedtext"/>
        <w:ind w:left="601" w:firstLine="0"/>
        <w:rPr>
          <w:i/>
          <w:iCs/>
        </w:rPr>
      </w:pPr>
    </w:p>
    <w:p w14:paraId="241D4F73" w14:textId="6B1F9427" w:rsidR="003D2711" w:rsidRPr="00F63250" w:rsidRDefault="003D2711" w:rsidP="001655A9">
      <w:pPr>
        <w:pStyle w:val="FigureMainHeading"/>
      </w:pPr>
      <w:bookmarkStart w:id="54" w:name="Figure_2_2"/>
      <w:r w:rsidRPr="005B46B4">
        <w:lastRenderedPageBreak/>
        <w:t xml:space="preserve">Figure </w:t>
      </w:r>
      <w:r>
        <w:t>2.2</w:t>
      </w:r>
      <w:bookmarkEnd w:id="54"/>
      <w:r w:rsidRPr="005B46B4">
        <w:t>: Comparison of ASIC</w:t>
      </w:r>
      <w:r w:rsidR="00EF40B0">
        <w:t>’</w:t>
      </w:r>
      <w:r w:rsidRPr="005B46B4">
        <w:t xml:space="preserve">s </w:t>
      </w:r>
      <w:r w:rsidRPr="00F63250">
        <w:t>mandate to international peers</w:t>
      </w:r>
      <w:r w:rsidR="00474AAE" w:rsidRPr="006621F8">
        <w:rPr>
          <w:vertAlign w:val="superscript"/>
        </w:rPr>
        <w:footnoteReference w:id="26"/>
      </w:r>
    </w:p>
    <w:p w14:paraId="137DC579" w14:textId="77777777" w:rsidR="003D2711" w:rsidRPr="005B46B4" w:rsidRDefault="005D3344" w:rsidP="003D2711">
      <w:pPr>
        <w:pStyle w:val="numberedtext"/>
        <w:ind w:left="601" w:firstLine="0"/>
        <w:rPr>
          <w:i/>
          <w:iCs/>
        </w:rPr>
      </w:pPr>
      <w:r w:rsidRPr="00F63250">
        <w:rPr>
          <w:noProof/>
        </w:rPr>
        <w:drawing>
          <wp:inline distT="0" distB="0" distL="0" distR="0" wp14:anchorId="050FA561" wp14:editId="12507BE2">
            <wp:extent cx="5420458" cy="5756744"/>
            <wp:effectExtent l="0" t="0" r="8890" b="0"/>
            <wp:docPr id="2" name="Picture 2" descr="Figure 2.2 displays a matrix chart comparing the mandates of international market conduct regulators. The first column of the matrix displays 8 international regulators: the Australian Securities and Investments Commission (Australia), Financial Conduct Authority (United Kingdom), Securities and Exchange Commission (United States), BaFIN (Germany), Authority for Financial Markets (Netherlands), Securities and Futures Commission (Singapore) and Financial Markets Authority (New Zealand). The first column of the matrix lists 10 mandate categories: financial services, corporation regulation, consumer credit, financial education, supervision of financial markets, insolvency, company registration, prudential regulator, statutory responsibility for compensation and payment systems. The legend below the chart displays 3 categories: light blue for ‘agency performs the role’, green for ‘another agency performs the role’ and dark blue for ‘role is shared with another agency’. The matrix shows ASIC to perform 7 of the 10 mandate roles. The only other regulator to perform 7 roles is the Monetary Authority of Singap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2 displays a matrix chart comparing the mandates of international market conduct regulators. The first column of the matrix displays 8 international regulators: the Australian Securities and Investments Commission (Australia), Financial Conduct Authority (United Kingdom), Securities and Exchange Commission (United States), BaFIN (Germany), Authority for Financial Markets (Netherlands), Securities and Futures Commission (Singapore) and Financial Markets Authority (New Zealand). The first column of the matrix lists 10 mandate categories: financial services, corporation regulation, consumer credit, financial education, supervision of financial markets, insolvency, company registration, prudential regulator, statutory responsibility for compensation and payment systems. The legend below the chart displays 3 categories: light blue for ‘agency performs the role’, green for ‘another agency performs the role’ and dark blue for ‘role is shared with another agency’. The matrix shows ASIC to perform 7 of the 10 mandate roles. The only other regulator to perform 7 roles is the Monetary Authority of Singapore. "/>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420458" cy="5756744"/>
                    </a:xfrm>
                    <a:prstGeom prst="rect">
                      <a:avLst/>
                    </a:prstGeom>
                    <a:noFill/>
                    <a:ln>
                      <a:noFill/>
                    </a:ln>
                  </pic:spPr>
                </pic:pic>
              </a:graphicData>
            </a:graphic>
          </wp:inline>
        </w:drawing>
      </w:r>
    </w:p>
    <w:p w14:paraId="5B0D6C80" w14:textId="331602FB" w:rsidR="003D2711" w:rsidRDefault="003D2711" w:rsidP="001A1CBE">
      <w:pPr>
        <w:pStyle w:val="Source"/>
      </w:pPr>
      <w:r w:rsidRPr="004D52D0">
        <w:t>Source: Treasury</w:t>
      </w:r>
      <w:r w:rsidR="00EC6032">
        <w:t>, 2022.</w:t>
      </w:r>
    </w:p>
    <w:p w14:paraId="34126E2C" w14:textId="134C8EB2" w:rsidR="003D2711" w:rsidRPr="006D23AD" w:rsidRDefault="003D2711" w:rsidP="00975036">
      <w:pPr>
        <w:pStyle w:val="numberedtext"/>
        <w:numPr>
          <w:ilvl w:val="1"/>
          <w:numId w:val="12"/>
        </w:numPr>
        <w:ind w:left="567" w:hanging="567"/>
      </w:pPr>
      <w:r w:rsidRPr="006D23AD">
        <w:t>ASIC</w:t>
      </w:r>
      <w:r w:rsidR="00EF40B0">
        <w:t>’</w:t>
      </w:r>
      <w:r w:rsidRPr="006D23AD">
        <w:t>s expansive remit is also reflected in the wide range of entities it regulates</w:t>
      </w:r>
      <w:r>
        <w:t>. In 2020</w:t>
      </w:r>
      <w:r w:rsidR="009F7168">
        <w:t>–</w:t>
      </w:r>
      <w:r>
        <w:t>21, this included</w:t>
      </w:r>
      <w:r w:rsidRPr="006D23AD">
        <w:t xml:space="preserve">: </w:t>
      </w:r>
      <w:r>
        <w:t>6,179</w:t>
      </w:r>
      <w:r w:rsidRPr="006D23AD">
        <w:t xml:space="preserve"> Australian financial service licensees</w:t>
      </w:r>
      <w:r w:rsidR="00FD4331">
        <w:t xml:space="preserve"> (AFSL)</w:t>
      </w:r>
      <w:r w:rsidRPr="006D23AD">
        <w:t xml:space="preserve">, </w:t>
      </w:r>
      <w:r>
        <w:t>4,777</w:t>
      </w:r>
      <w:r w:rsidRPr="006D23AD">
        <w:t xml:space="preserve"> </w:t>
      </w:r>
      <w:r w:rsidR="00FD4331">
        <w:t xml:space="preserve">Australian </w:t>
      </w:r>
      <w:r w:rsidRPr="006D23AD">
        <w:t>credit licensees</w:t>
      </w:r>
      <w:r w:rsidR="00FD4331">
        <w:t xml:space="preserve"> (ACL)</w:t>
      </w:r>
      <w:r w:rsidRPr="006D23AD">
        <w:t xml:space="preserve">, </w:t>
      </w:r>
      <w:r>
        <w:t>67</w:t>
      </w:r>
      <w:r w:rsidRPr="006D23AD">
        <w:t xml:space="preserve"> authorised market infrastructure providers, </w:t>
      </w:r>
      <w:r>
        <w:t>5,540</w:t>
      </w:r>
      <w:r w:rsidRPr="006D23AD">
        <w:t xml:space="preserve"> registered self</w:t>
      </w:r>
      <w:r w:rsidR="00EF40B0">
        <w:noBreakHyphen/>
      </w:r>
      <w:r w:rsidRPr="006D23AD">
        <w:t xml:space="preserve">managed super funds </w:t>
      </w:r>
      <w:r w:rsidR="006769B5">
        <w:t>(SMSF)</w:t>
      </w:r>
      <w:r w:rsidRPr="006D23AD">
        <w:t xml:space="preserve"> auditors, </w:t>
      </w:r>
      <w:r>
        <w:t>3,553</w:t>
      </w:r>
      <w:r w:rsidR="00E6411A">
        <w:t> </w:t>
      </w:r>
      <w:r w:rsidRPr="006D23AD">
        <w:t xml:space="preserve">registered company auditors, </w:t>
      </w:r>
      <w:r>
        <w:t>649</w:t>
      </w:r>
      <w:r w:rsidRPr="006D23AD">
        <w:t xml:space="preserve"> registered liquidators and </w:t>
      </w:r>
      <w:r>
        <w:t>2,612</w:t>
      </w:r>
      <w:r w:rsidRPr="006D23AD">
        <w:t xml:space="preserve"> registered managed investment schemes.</w:t>
      </w:r>
      <w:r>
        <w:rPr>
          <w:rStyle w:val="FootnoteReference"/>
        </w:rPr>
        <w:footnoteReference w:id="27"/>
      </w:r>
      <w:r w:rsidRPr="006D23AD">
        <w:t xml:space="preserve"> </w:t>
      </w:r>
    </w:p>
    <w:p w14:paraId="42195431" w14:textId="77777777" w:rsidR="003D2711" w:rsidRPr="006E29EF" w:rsidRDefault="003D2711" w:rsidP="003D2711">
      <w:pPr>
        <w:pStyle w:val="Heading2"/>
        <w:rPr>
          <w:rFonts w:eastAsiaTheme="minorHAnsi"/>
        </w:rPr>
      </w:pPr>
      <w:bookmarkStart w:id="55" w:name="_Toc110241817"/>
      <w:r w:rsidRPr="006E29EF">
        <w:rPr>
          <w:rFonts w:eastAsiaTheme="minorHAnsi"/>
        </w:rPr>
        <w:lastRenderedPageBreak/>
        <w:t>Funding and resourcing</w:t>
      </w:r>
      <w:bookmarkEnd w:id="55"/>
      <w:r w:rsidRPr="006E29EF">
        <w:rPr>
          <w:rFonts w:eastAsiaTheme="minorHAnsi"/>
        </w:rPr>
        <w:t xml:space="preserve"> </w:t>
      </w:r>
    </w:p>
    <w:p w14:paraId="60BFBD35" w14:textId="6F636B4E" w:rsidR="003D2711" w:rsidRDefault="003D2711" w:rsidP="00975036">
      <w:pPr>
        <w:pStyle w:val="numberedtext"/>
        <w:numPr>
          <w:ilvl w:val="1"/>
          <w:numId w:val="12"/>
        </w:numPr>
      </w:pPr>
      <w:r w:rsidRPr="002841AB">
        <w:t xml:space="preserve">The </w:t>
      </w:r>
      <w:r w:rsidR="00C75D00">
        <w:t>G</w:t>
      </w:r>
      <w:r w:rsidRPr="002841AB">
        <w:t>overnment provides</w:t>
      </w:r>
      <w:r>
        <w:t xml:space="preserve"> funding</w:t>
      </w:r>
      <w:r w:rsidRPr="002841AB">
        <w:t xml:space="preserve"> to ASIC through the annual budget process as appropriation</w:t>
      </w:r>
      <w:r>
        <w:t xml:space="preserve"> revenue</w:t>
      </w:r>
      <w:r w:rsidRPr="002841AB">
        <w:t>. In 2021</w:t>
      </w:r>
      <w:r w:rsidR="00D91803">
        <w:t>–</w:t>
      </w:r>
      <w:r w:rsidRPr="002841AB">
        <w:t xml:space="preserve">22, ASIC received $422 million in </w:t>
      </w:r>
      <w:r>
        <w:t xml:space="preserve">departmental </w:t>
      </w:r>
      <w:r w:rsidRPr="002841AB">
        <w:t>appropriation revenue</w:t>
      </w:r>
      <w:r>
        <w:t xml:space="preserve"> for </w:t>
      </w:r>
      <w:r w:rsidR="007715A8">
        <w:t xml:space="preserve">its </w:t>
      </w:r>
      <w:r>
        <w:t>operating expenditure</w:t>
      </w:r>
      <w:r w:rsidRPr="002841AB">
        <w:t xml:space="preserve"> and </w:t>
      </w:r>
      <w:r>
        <w:t>corresponding to an estimated</w:t>
      </w:r>
      <w:r w:rsidRPr="002841AB">
        <w:t xml:space="preserve"> </w:t>
      </w:r>
      <w:r>
        <w:t xml:space="preserve">average </w:t>
      </w:r>
      <w:r w:rsidRPr="002841AB">
        <w:t>staffing level (ASL)</w:t>
      </w:r>
      <w:r>
        <w:rPr>
          <w:rStyle w:val="FootnoteReference"/>
        </w:rPr>
        <w:footnoteReference w:id="28"/>
      </w:r>
      <w:r>
        <w:t xml:space="preserve"> </w:t>
      </w:r>
      <w:r w:rsidRPr="002841AB">
        <w:t>of 1,972.</w:t>
      </w:r>
      <w:r>
        <w:rPr>
          <w:rStyle w:val="FootnoteReference"/>
        </w:rPr>
        <w:footnoteReference w:id="29"/>
      </w:r>
      <w:r>
        <w:t xml:space="preserve"> ASIC also receives a </w:t>
      </w:r>
      <w:r w:rsidRPr="00824F9D">
        <w:t xml:space="preserve">capital expenditure budget </w:t>
      </w:r>
      <w:r>
        <w:t xml:space="preserve">from government and </w:t>
      </w:r>
      <w:r w:rsidRPr="00824F9D">
        <w:t xml:space="preserve">has </w:t>
      </w:r>
      <w:r w:rsidR="00DA5965">
        <w:t>limited</w:t>
      </w:r>
      <w:r w:rsidRPr="00824F9D">
        <w:t xml:space="preserve"> flexibility to </w:t>
      </w:r>
      <w:r w:rsidR="00DA5965">
        <w:t>reallocate its operational</w:t>
      </w:r>
      <w:r>
        <w:t xml:space="preserve"> expenditure budget </w:t>
      </w:r>
      <w:r w:rsidR="00DA5965">
        <w:t>to</w:t>
      </w:r>
      <w:r>
        <w:t xml:space="preserve"> capital expenditure.</w:t>
      </w:r>
      <w:r w:rsidRPr="00824F9D">
        <w:t xml:space="preserve"> ASIC</w:t>
      </w:r>
      <w:r w:rsidR="00EF40B0">
        <w:t>’</w:t>
      </w:r>
      <w:r w:rsidRPr="00824F9D">
        <w:t xml:space="preserve">s </w:t>
      </w:r>
      <w:r>
        <w:t>average</w:t>
      </w:r>
      <w:r w:rsidRPr="00824F9D">
        <w:t xml:space="preserve"> </w:t>
      </w:r>
      <w:r>
        <w:t>budget estimates over the 5</w:t>
      </w:r>
      <w:r w:rsidR="00EF40B0">
        <w:noBreakHyphen/>
      </w:r>
      <w:r>
        <w:t>year period spanning 2017</w:t>
      </w:r>
      <w:r w:rsidR="00D77357">
        <w:t>–</w:t>
      </w:r>
      <w:r>
        <w:t>18 to 2021</w:t>
      </w:r>
      <w:r w:rsidR="00D91803">
        <w:t>–</w:t>
      </w:r>
      <w:r>
        <w:t xml:space="preserve">22 for </w:t>
      </w:r>
      <w:r w:rsidRPr="00824F9D">
        <w:t>operating</w:t>
      </w:r>
      <w:r>
        <w:t xml:space="preserve"> and capital expenditure were</w:t>
      </w:r>
      <w:r w:rsidRPr="00824F9D">
        <w:t xml:space="preserve"> $</w:t>
      </w:r>
      <w:r>
        <w:t>456</w:t>
      </w:r>
      <w:r w:rsidR="00E6411A">
        <w:t> </w:t>
      </w:r>
      <w:r w:rsidRPr="00824F9D">
        <w:t>million and $</w:t>
      </w:r>
      <w:r>
        <w:t>48</w:t>
      </w:r>
      <w:r w:rsidRPr="00824F9D">
        <w:t xml:space="preserve"> million</w:t>
      </w:r>
      <w:r>
        <w:t xml:space="preserve"> respectively</w:t>
      </w:r>
      <w:r w:rsidRPr="00824F9D">
        <w:t>.</w:t>
      </w:r>
      <w:r>
        <w:rPr>
          <w:rStyle w:val="FootnoteReference"/>
        </w:rPr>
        <w:footnoteReference w:id="30"/>
      </w:r>
      <w:r>
        <w:t xml:space="preserve"> </w:t>
      </w:r>
      <w:r w:rsidRPr="007F073E">
        <w:t>ASIC ultimately determines the internal allocation of funding and resources across functional areas</w:t>
      </w:r>
      <w:r>
        <w:t>.</w:t>
      </w:r>
      <w:r w:rsidR="00363A4B">
        <w:rPr>
          <w:rStyle w:val="FootnoteReference"/>
        </w:rPr>
        <w:footnoteReference w:id="31"/>
      </w:r>
      <w:r>
        <w:t xml:space="preserve"> </w:t>
      </w:r>
      <w:r w:rsidR="00865478">
        <w:rPr>
          <w:rFonts w:eastAsia="Calibri"/>
        </w:rPr>
        <w:t xml:space="preserve"> </w:t>
      </w:r>
    </w:p>
    <w:p w14:paraId="36CA7930" w14:textId="41EA8249" w:rsidR="003D2711" w:rsidRDefault="003D2711" w:rsidP="00975036">
      <w:pPr>
        <w:pStyle w:val="numberedtext"/>
        <w:numPr>
          <w:ilvl w:val="1"/>
          <w:numId w:val="12"/>
        </w:numPr>
      </w:pPr>
      <w:r w:rsidRPr="007A382E">
        <w:t xml:space="preserve">In 2017, an industry funding model (IFM) was introduced for ASIC to recover the cost of regulatory activities directly from industry participants through levies and fees to reflect the cost of regulating the different industry sectors. </w:t>
      </w:r>
      <w:r>
        <w:t>The legislative framework for industry funding levies was established by a number of Acts, regulations and legislative instruments, including the</w:t>
      </w:r>
      <w:r w:rsidRPr="004F1852">
        <w:rPr>
          <w:i/>
          <w:iCs/>
        </w:rPr>
        <w:t xml:space="preserve"> ASIC Supervisory Cost Recovery (Collection</w:t>
      </w:r>
      <w:r>
        <w:rPr>
          <w:i/>
          <w:iCs/>
        </w:rPr>
        <w:t>)</w:t>
      </w:r>
      <w:r w:rsidRPr="004F1852">
        <w:rPr>
          <w:i/>
          <w:iCs/>
        </w:rPr>
        <w:t xml:space="preserve"> Act 2017</w:t>
      </w:r>
      <w:r>
        <w:t xml:space="preserve">, Cost Recovery Levy Regulations and </w:t>
      </w:r>
      <w:r w:rsidRPr="004F1852">
        <w:rPr>
          <w:i/>
          <w:iCs/>
        </w:rPr>
        <w:t>Corporations (Review Fees) Regulations 2003</w:t>
      </w:r>
      <w:r>
        <w:t xml:space="preserve">. Regulatory activities that are recovered through the IFM include: supervision and surveillance; enforcement; and industry engagement, education, guidance and policy advice. ASIC also recovers indirect costs which support regulatory activities, such as: governance, central strategy and legal; </w:t>
      </w:r>
      <w:r w:rsidR="003E284F">
        <w:t>information technology (</w:t>
      </w:r>
      <w:r>
        <w:t>IT</w:t>
      </w:r>
      <w:r w:rsidR="003E284F">
        <w:t>)</w:t>
      </w:r>
      <w:r>
        <w:t xml:space="preserve"> support; operations support; and property and corporate services. </w:t>
      </w:r>
    </w:p>
    <w:p w14:paraId="1098059A" w14:textId="5218E06C" w:rsidR="003D2711" w:rsidRPr="007A382E" w:rsidRDefault="003D2711" w:rsidP="00975036">
      <w:pPr>
        <w:pStyle w:val="numberedtext"/>
        <w:numPr>
          <w:ilvl w:val="1"/>
          <w:numId w:val="12"/>
        </w:numPr>
      </w:pPr>
      <w:r w:rsidRPr="007A382E">
        <w:t xml:space="preserve">In </w:t>
      </w:r>
      <w:r w:rsidRPr="00C75EE3">
        <w:t>202</w:t>
      </w:r>
      <w:r>
        <w:t>1</w:t>
      </w:r>
      <w:r w:rsidR="00F450E7">
        <w:t>–</w:t>
      </w:r>
      <w:r w:rsidRPr="00C75EE3">
        <w:t>2</w:t>
      </w:r>
      <w:r>
        <w:t>2</w:t>
      </w:r>
      <w:r w:rsidRPr="007A382E">
        <w:t xml:space="preserve">, ASIC </w:t>
      </w:r>
      <w:r>
        <w:t>expects to recover</w:t>
      </w:r>
      <w:r w:rsidRPr="007A382E">
        <w:t xml:space="preserve"> $</w:t>
      </w:r>
      <w:r>
        <w:t>266</w:t>
      </w:r>
      <w:r w:rsidRPr="007A382E">
        <w:t xml:space="preserve"> million through </w:t>
      </w:r>
      <w:r>
        <w:t>cost recovery levies,</w:t>
      </w:r>
      <w:r w:rsidRPr="007A382E">
        <w:t xml:space="preserve"> $</w:t>
      </w:r>
      <w:r>
        <w:t>66</w:t>
      </w:r>
      <w:r w:rsidRPr="007A382E">
        <w:t xml:space="preserve"> million through </w:t>
      </w:r>
      <w:r>
        <w:t xml:space="preserve">statutory </w:t>
      </w:r>
      <w:r w:rsidRPr="007A382E">
        <w:t>levies and $</w:t>
      </w:r>
      <w:r w:rsidRPr="00C75EE3">
        <w:t>1</w:t>
      </w:r>
      <w:r>
        <w:t>7</w:t>
      </w:r>
      <w:r w:rsidRPr="007A382E">
        <w:t xml:space="preserve"> million through fees</w:t>
      </w:r>
      <w:r w:rsidR="00EF40B0">
        <w:noBreakHyphen/>
      </w:r>
      <w:r w:rsidRPr="007A382E">
        <w:t>for</w:t>
      </w:r>
      <w:r w:rsidR="00EF40B0">
        <w:noBreakHyphen/>
      </w:r>
      <w:r w:rsidRPr="007A382E">
        <w:t>service.</w:t>
      </w:r>
      <w:r>
        <w:rPr>
          <w:rStyle w:val="FootnoteReference"/>
        </w:rPr>
        <w:footnoteReference w:id="32"/>
      </w:r>
      <w:r w:rsidRPr="007A382E">
        <w:t xml:space="preserve"> This account</w:t>
      </w:r>
      <w:r>
        <w:t>s</w:t>
      </w:r>
      <w:r w:rsidRPr="007A382E">
        <w:t xml:space="preserve"> for approximately </w:t>
      </w:r>
      <w:r>
        <w:t>83%</w:t>
      </w:r>
      <w:r w:rsidRPr="007A382E">
        <w:t xml:space="preserve"> of its total </w:t>
      </w:r>
      <w:r w:rsidRPr="00F37A9D">
        <w:t xml:space="preserve">departmental appropriation </w:t>
      </w:r>
      <w:r>
        <w:t>of $422 million</w:t>
      </w:r>
      <w:r w:rsidRPr="007A382E">
        <w:t xml:space="preserve"> recovered through the IFM. The amount ASIC recovers through the IFM is less than the total </w:t>
      </w:r>
      <w:r w:rsidRPr="00885B9C">
        <w:t>departmental appropriation</w:t>
      </w:r>
      <w:r w:rsidRPr="007A382E">
        <w:t>, as ASIC engages in some non</w:t>
      </w:r>
      <w:r w:rsidR="00EF40B0">
        <w:noBreakHyphen/>
      </w:r>
      <w:r w:rsidRPr="007A382E">
        <w:t>regulatory activities such as,</w:t>
      </w:r>
      <w:r>
        <w:t xml:space="preserve"> registry activities where the</w:t>
      </w:r>
      <w:r w:rsidRPr="007A382E">
        <w:t xml:space="preserve"> </w:t>
      </w:r>
      <w:r>
        <w:t>Government has decided the costs associated with those activities will not</w:t>
      </w:r>
      <w:r w:rsidRPr="007A382E">
        <w:t xml:space="preserve"> be recovered from the regulated population</w:t>
      </w:r>
      <w:r>
        <w:t xml:space="preserve"> through the IFM.</w:t>
      </w:r>
      <w:r>
        <w:rPr>
          <w:rStyle w:val="FootnoteReference"/>
        </w:rPr>
        <w:footnoteReference w:id="33"/>
      </w:r>
      <w:r w:rsidRPr="007A382E">
        <w:t xml:space="preserve"> </w:t>
      </w:r>
    </w:p>
    <w:p w14:paraId="331B8C49" w14:textId="59FBCC90" w:rsidR="003D2711" w:rsidRPr="0017697E" w:rsidRDefault="003D2711" w:rsidP="00975036">
      <w:pPr>
        <w:pStyle w:val="numberedtext"/>
        <w:numPr>
          <w:ilvl w:val="1"/>
          <w:numId w:val="12"/>
        </w:numPr>
      </w:pPr>
      <w:r w:rsidRPr="0017697E">
        <w:t>Figure</w:t>
      </w:r>
      <w:r>
        <w:t xml:space="preserve"> 2.3</w:t>
      </w:r>
      <w:r w:rsidRPr="0017697E">
        <w:t xml:space="preserve"> demonstrates ASIC</w:t>
      </w:r>
      <w:r w:rsidR="00EF40B0">
        <w:t>’</w:t>
      </w:r>
      <w:r w:rsidRPr="0017697E">
        <w:t>s funding</w:t>
      </w:r>
      <w:r>
        <w:t xml:space="preserve"> amount recovered through the IFM</w:t>
      </w:r>
      <w:r w:rsidRPr="0017697E">
        <w:t xml:space="preserve"> and ASL over the last decade. In 2019</w:t>
      </w:r>
      <w:r w:rsidR="00F450E7">
        <w:t>–</w:t>
      </w:r>
      <w:r w:rsidRPr="0017697E">
        <w:t xml:space="preserve">20, ASIC received additional funding of </w:t>
      </w:r>
      <w:r>
        <w:t xml:space="preserve">approximately </w:t>
      </w:r>
      <w:r w:rsidRPr="0017697E">
        <w:t>$40</w:t>
      </w:r>
      <w:r>
        <w:t>5</w:t>
      </w:r>
      <w:r w:rsidRPr="0017697E">
        <w:t xml:space="preserve"> million over </w:t>
      </w:r>
      <w:r w:rsidR="007715A8">
        <w:t>4</w:t>
      </w:r>
      <w:r w:rsidR="005115AE">
        <w:t> </w:t>
      </w:r>
      <w:r w:rsidRPr="0017697E">
        <w:t>years to implement the recommendations of the Royal Commission. This funding supported an accelerated enforcement strategy, expanded regulation of financial services, enhanced on</w:t>
      </w:r>
      <w:r w:rsidR="00EF40B0">
        <w:noBreakHyphen/>
      </w:r>
      <w:r w:rsidRPr="0017697E">
        <w:t xml:space="preserve">site supervision of larger institutions, </w:t>
      </w:r>
      <w:r w:rsidR="000B4CD7">
        <w:t xml:space="preserve">an </w:t>
      </w:r>
      <w:r w:rsidRPr="0017697E">
        <w:t xml:space="preserve">expanded role as </w:t>
      </w:r>
      <w:r>
        <w:t xml:space="preserve">the </w:t>
      </w:r>
      <w:r w:rsidRPr="0017697E">
        <w:t xml:space="preserve">conduct regulator for superannuation and administering </w:t>
      </w:r>
      <w:r w:rsidR="002E0F7C">
        <w:t xml:space="preserve">a </w:t>
      </w:r>
      <w:r w:rsidRPr="0017697E">
        <w:t>conduct</w:t>
      </w:r>
      <w:r w:rsidR="00EF40B0">
        <w:noBreakHyphen/>
      </w:r>
      <w:r w:rsidRPr="0017697E">
        <w:t>focused accountability regime.</w:t>
      </w:r>
    </w:p>
    <w:p w14:paraId="620BF362" w14:textId="5A781298" w:rsidR="005D3344" w:rsidRPr="008F5345" w:rsidRDefault="005D3344" w:rsidP="001655A9">
      <w:pPr>
        <w:pStyle w:val="FigureMainHeading"/>
      </w:pPr>
      <w:bookmarkStart w:id="56" w:name="Figure_2_3"/>
      <w:r w:rsidRPr="008F5345">
        <w:lastRenderedPageBreak/>
        <w:t>Figure</w:t>
      </w:r>
      <w:r>
        <w:t xml:space="preserve"> 2.3</w:t>
      </w:r>
      <w:bookmarkEnd w:id="56"/>
      <w:r w:rsidRPr="008F5345">
        <w:t>: ASIC</w:t>
      </w:r>
      <w:r w:rsidR="00EF40B0">
        <w:t>’</w:t>
      </w:r>
      <w:r w:rsidRPr="008F5345">
        <w:t>s funding, amount</w:t>
      </w:r>
      <w:r w:rsidR="00E36F1B">
        <w:t>s</w:t>
      </w:r>
      <w:r w:rsidRPr="008F5345">
        <w:t xml:space="preserve"> recovered through the IFM and </w:t>
      </w:r>
      <w:r w:rsidR="00E36F1B">
        <w:t>ASL</w:t>
      </w:r>
      <w:r w:rsidRPr="008F5345">
        <w:t xml:space="preserve"> from 2012</w:t>
      </w:r>
      <w:r w:rsidR="00E367D0">
        <w:t>–</w:t>
      </w:r>
      <w:r w:rsidRPr="008F5345">
        <w:t xml:space="preserve">13 to </w:t>
      </w:r>
      <w:r w:rsidR="00E367D0">
        <w:br/>
      </w:r>
      <w:r w:rsidRPr="008F5345">
        <w:t>2020</w:t>
      </w:r>
      <w:r w:rsidR="008B455F">
        <w:t>–</w:t>
      </w:r>
      <w:r w:rsidRPr="008F5345">
        <w:t>21</w:t>
      </w:r>
      <w:r w:rsidR="003F5348">
        <w:rPr>
          <w:rStyle w:val="FootnoteReference"/>
        </w:rPr>
        <w:footnoteReference w:id="34"/>
      </w:r>
    </w:p>
    <w:p w14:paraId="51176DA6" w14:textId="27243F7E" w:rsidR="00C76A8B" w:rsidRPr="00C57351" w:rsidRDefault="009A6EB8" w:rsidP="00C57351">
      <w:pPr>
        <w:ind w:left="567"/>
      </w:pPr>
      <w:r>
        <w:rPr>
          <w:noProof/>
        </w:rPr>
        <w:drawing>
          <wp:inline distT="0" distB="0" distL="0" distR="0" wp14:anchorId="34A47FF8" wp14:editId="6BF5FB47">
            <wp:extent cx="5723924" cy="3307742"/>
            <wp:effectExtent l="0" t="0" r="0" b="0"/>
            <wp:docPr id="9" name="Picture 9" descr="Figure 2.3 contains a combination graph with columns showing funding levels and a line showing ASL. The graph spans over the time period from 2012-13 to 2021-22. The legend below the graph displays 4 funding categories: green for ‘cost recovery levies’, orange for ‘statutory levies’, grey for ‘fees for service’, and dark blue for ‘consolidated revenue’. The legend also shows a light blue line for ASL. The y-axis on the left hand side displays the amount of funding ASIC received in millions of dollars for the column graph. Funding ranged between a minimum of 322 and a maximum of 422. The column for the years 2012-13 to 2016-17 shows funding from consolidated revenue only. The column for the year 2017-18 displays the amounts ASIC recovered through cost recovery levies and statutory levies. The 4 columns spanning over the years 2018-19 to 2021-22 displays the amounts ASIC recovered through cost recovery levies, statutory levies and fees for service. The y-axis on the right hand side displays the amount for the ASL for the line graph. The ASL ranges between a minimum of 1,573 and a maximum of 2,09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3 contains a combination graph with columns showing funding levels and a line showing ASL. The graph spans over the time period from 2012-13 to 2021-22. The legend below the graph displays 4 funding categories: green for ‘cost recovery levies’, orange for ‘statutory levies’, grey for ‘fees for service’, and dark blue for ‘consolidated revenue’. The legend also shows a light blue line for ASL. The y-axis on the left hand side displays the amount of funding ASIC received in millions of dollars for the column graph. Funding ranged between a minimum of 322 and a maximum of 422. The column for the years 2012-13 to 2016-17 shows funding from consolidated revenue only. The column for the year 2017-18 displays the amounts ASIC recovered through cost recovery levies and statutory levies. The 4 columns spanning over the years 2018-19 to 2021-22 displays the amounts ASIC recovered through cost recovery levies, statutory levies and fees for service. The y-axis on the right hand side displays the amount for the ASL for the line graph. The ASL ranges between a minimum of 1,573 and a maximum of 2,096.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9497" cy="3316741"/>
                    </a:xfrm>
                    <a:prstGeom prst="rect">
                      <a:avLst/>
                    </a:prstGeom>
                    <a:noFill/>
                  </pic:spPr>
                </pic:pic>
              </a:graphicData>
            </a:graphic>
          </wp:inline>
        </w:drawing>
      </w:r>
    </w:p>
    <w:p w14:paraId="25E6E918" w14:textId="5D2490D1" w:rsidR="003D2711" w:rsidRDefault="003D2711" w:rsidP="001A1CBE">
      <w:pPr>
        <w:pStyle w:val="Source"/>
      </w:pPr>
      <w:r>
        <w:t xml:space="preserve">Source: </w:t>
      </w:r>
      <w:r w:rsidR="009F65A7">
        <w:t xml:space="preserve">Australian Government, </w:t>
      </w:r>
      <w:r w:rsidR="006B6833" w:rsidRPr="009F65A7">
        <w:rPr>
          <w:i/>
        </w:rPr>
        <w:t>Portfolio Budget Statements Treasury Portfolio</w:t>
      </w:r>
      <w:r w:rsidR="0083442E">
        <w:t xml:space="preserve">, </w:t>
      </w:r>
      <w:r w:rsidR="006B6833" w:rsidRPr="006B6833">
        <w:t>2012</w:t>
      </w:r>
      <w:r w:rsidR="00D77357">
        <w:t>–</w:t>
      </w:r>
      <w:r w:rsidR="006B6833" w:rsidRPr="006B6833">
        <w:t>13 to 2022</w:t>
      </w:r>
      <w:r w:rsidR="005B75C1">
        <w:t>–</w:t>
      </w:r>
      <w:r w:rsidR="006B6833" w:rsidRPr="006B6833">
        <w:t xml:space="preserve">23; </w:t>
      </w:r>
      <w:r w:rsidR="009F65A7">
        <w:t>ASIC,</w:t>
      </w:r>
      <w:r w:rsidR="009F65A7" w:rsidRPr="009F65A7">
        <w:rPr>
          <w:i/>
          <w:iCs/>
        </w:rPr>
        <w:t xml:space="preserve"> </w:t>
      </w:r>
      <w:r w:rsidR="006B6833" w:rsidRPr="009F65A7">
        <w:rPr>
          <w:i/>
        </w:rPr>
        <w:t>Cost Implementation Recovery Statement: ASIC industry funding model</w:t>
      </w:r>
      <w:r w:rsidR="0083442E">
        <w:t xml:space="preserve">, </w:t>
      </w:r>
      <w:r w:rsidR="006B6833" w:rsidRPr="006B6833">
        <w:t>2017</w:t>
      </w:r>
      <w:r w:rsidR="005B75C1">
        <w:t>–</w:t>
      </w:r>
      <w:r w:rsidR="006B6833" w:rsidRPr="006B6833">
        <w:t>18 to 2021</w:t>
      </w:r>
      <w:r w:rsidR="005B75C1">
        <w:t>–</w:t>
      </w:r>
      <w:r w:rsidR="006B6833" w:rsidRPr="006B6833">
        <w:t>22</w:t>
      </w:r>
      <w:r w:rsidR="00EF40B0">
        <w:t xml:space="preserve">. </w:t>
      </w:r>
      <w:r w:rsidR="006B6833" w:rsidRPr="006B6833">
        <w:t xml:space="preserve"> </w:t>
      </w:r>
    </w:p>
    <w:p w14:paraId="7724BEBE" w14:textId="77777777" w:rsidR="003D2711" w:rsidRDefault="003D2711" w:rsidP="003D2711">
      <w:pPr>
        <w:pStyle w:val="numberedtext"/>
        <w:ind w:left="520" w:hanging="520"/>
      </w:pPr>
    </w:p>
    <w:p w14:paraId="583FF902" w14:textId="77777777" w:rsidR="003D2711" w:rsidRPr="003D2711" w:rsidRDefault="003D2711" w:rsidP="003D2711"/>
    <w:p w14:paraId="6AF8E148" w14:textId="64849ACB" w:rsidR="00C24291" w:rsidRDefault="00C24291" w:rsidP="009B1E32">
      <w:pPr>
        <w:sectPr w:rsidR="00C24291" w:rsidSect="00526D0C">
          <w:type w:val="oddPage"/>
          <w:pgSz w:w="11906" w:h="16838" w:code="9"/>
          <w:pgMar w:top="1418" w:right="1418" w:bottom="1418" w:left="1418" w:header="709" w:footer="709" w:gutter="0"/>
          <w:cols w:space="708"/>
          <w:docGrid w:linePitch="360"/>
        </w:sectPr>
      </w:pPr>
      <w:bookmarkStart w:id="57" w:name="_Hlk104373145"/>
      <w:bookmarkStart w:id="58" w:name="_Toc103249231"/>
      <w:bookmarkStart w:id="59" w:name="_Hlk103261881"/>
      <w:bookmarkStart w:id="60" w:name="_Hlk104373179"/>
      <w:bookmarkEnd w:id="48"/>
      <w:bookmarkEnd w:id="49"/>
    </w:p>
    <w:p w14:paraId="4E12331E" w14:textId="45662F5C" w:rsidR="00E26C84" w:rsidRPr="00B514AA" w:rsidRDefault="00E26C84" w:rsidP="00E26C84">
      <w:pPr>
        <w:pStyle w:val="Heading1"/>
      </w:pPr>
      <w:bookmarkStart w:id="61" w:name="_Toc110241818"/>
      <w:bookmarkStart w:id="62" w:name="_Ref110261550"/>
      <w:bookmarkStart w:id="63" w:name="_Ref110262400"/>
      <w:bookmarkStart w:id="64" w:name="_Ref110262820"/>
      <w:r w:rsidRPr="00E26C84">
        <w:lastRenderedPageBreak/>
        <w:t>Chapter 3: Strategic prioritisation, planning and decision</w:t>
      </w:r>
      <w:r w:rsidR="00EF40B0">
        <w:noBreakHyphen/>
      </w:r>
      <w:r w:rsidRPr="00E26C84">
        <w:t>making</w:t>
      </w:r>
      <w:bookmarkEnd w:id="61"/>
      <w:bookmarkEnd w:id="62"/>
      <w:bookmarkEnd w:id="63"/>
      <w:bookmarkEnd w:id="64"/>
    </w:p>
    <w:p w14:paraId="6015FD1B" w14:textId="77777777" w:rsidR="00E26C84" w:rsidRPr="004C4B0B" w:rsidRDefault="00E26C84" w:rsidP="000D21B0">
      <w:pPr>
        <w:pStyle w:val="Heading2"/>
        <w:rPr>
          <w:rFonts w:eastAsiaTheme="minorHAnsi"/>
        </w:rPr>
      </w:pPr>
      <w:bookmarkStart w:id="65" w:name="_Toc110241819"/>
      <w:bookmarkStart w:id="66" w:name="_Hlk104371793"/>
      <w:bookmarkEnd w:id="57"/>
      <w:bookmarkEnd w:id="58"/>
      <w:bookmarkEnd w:id="59"/>
      <w:bookmarkEnd w:id="60"/>
      <w:r w:rsidRPr="004C4B0B">
        <w:rPr>
          <w:rFonts w:eastAsiaTheme="minorHAnsi"/>
        </w:rPr>
        <w:t>Introduction</w:t>
      </w:r>
      <w:bookmarkEnd w:id="65"/>
    </w:p>
    <w:p w14:paraId="469BDF82" w14:textId="604AE405" w:rsidR="00E26C84" w:rsidRPr="003D4658" w:rsidRDefault="00E26C84" w:rsidP="00975036">
      <w:pPr>
        <w:pStyle w:val="numberedtext"/>
        <w:numPr>
          <w:ilvl w:val="0"/>
          <w:numId w:val="19"/>
        </w:numPr>
        <w:ind w:left="573" w:hanging="573"/>
        <w:rPr>
          <w:rFonts w:cstheme="minorHAnsi"/>
        </w:rPr>
      </w:pPr>
      <w:r w:rsidRPr="003D4658">
        <w:rPr>
          <w:rFonts w:cstheme="minorHAnsi"/>
        </w:rPr>
        <w:t xml:space="preserve">A </w:t>
      </w:r>
      <w:r w:rsidRPr="003D4658">
        <w:t>well</w:t>
      </w:r>
      <w:r w:rsidR="00EF40B0">
        <w:rPr>
          <w:rFonts w:cstheme="minorHAnsi"/>
        </w:rPr>
        <w:noBreakHyphen/>
      </w:r>
      <w:r w:rsidRPr="003D4658">
        <w:rPr>
          <w:rFonts w:cstheme="minorHAnsi"/>
        </w:rPr>
        <w:t>functioning governance structure is fundamental to ASIC</w:t>
      </w:r>
      <w:r w:rsidR="00EF40B0">
        <w:rPr>
          <w:rFonts w:cstheme="minorHAnsi"/>
        </w:rPr>
        <w:t>’</w:t>
      </w:r>
      <w:r w:rsidRPr="003D4658">
        <w:rPr>
          <w:rFonts w:cstheme="minorHAnsi"/>
        </w:rPr>
        <w:t>s overall effectiveness and capability.</w:t>
      </w:r>
    </w:p>
    <w:p w14:paraId="64DA4AE0" w14:textId="73A4AD69" w:rsidR="00E26C84" w:rsidRPr="003D4658" w:rsidRDefault="004C4B0B" w:rsidP="00975036">
      <w:pPr>
        <w:pStyle w:val="numberedtext"/>
        <w:numPr>
          <w:ilvl w:val="0"/>
          <w:numId w:val="19"/>
        </w:numPr>
        <w:ind w:left="573" w:hanging="573"/>
        <w:rPr>
          <w:rFonts w:cstheme="minorHAnsi"/>
        </w:rPr>
      </w:pPr>
      <w:r>
        <w:rPr>
          <w:rFonts w:cstheme="minorHAnsi"/>
        </w:rPr>
        <w:t>T</w:t>
      </w:r>
      <w:r w:rsidRPr="003D4658">
        <w:rPr>
          <w:rFonts w:cstheme="minorHAnsi"/>
        </w:rPr>
        <w:t>h</w:t>
      </w:r>
      <w:r>
        <w:rPr>
          <w:rFonts w:cstheme="minorHAnsi"/>
        </w:rPr>
        <w:t>is</w:t>
      </w:r>
      <w:r w:rsidR="00E26C84" w:rsidRPr="003D4658">
        <w:rPr>
          <w:rFonts w:cstheme="minorHAnsi"/>
        </w:rPr>
        <w:t xml:space="preserve"> chapter begins with an overview of ASIC</w:t>
      </w:r>
      <w:r w:rsidR="00EF40B0">
        <w:rPr>
          <w:rFonts w:cstheme="minorHAnsi"/>
        </w:rPr>
        <w:t>’</w:t>
      </w:r>
      <w:r w:rsidR="00E26C84" w:rsidRPr="003D4658">
        <w:rPr>
          <w:rFonts w:cstheme="minorHAnsi"/>
        </w:rPr>
        <w:t>s governance and accountability framework, previous reviews of ASIC</w:t>
      </w:r>
      <w:r w:rsidR="00EF40B0">
        <w:rPr>
          <w:rFonts w:cstheme="minorHAnsi"/>
        </w:rPr>
        <w:t>’</w:t>
      </w:r>
      <w:r w:rsidR="00E26C84" w:rsidRPr="003D4658">
        <w:rPr>
          <w:rFonts w:cstheme="minorHAnsi"/>
        </w:rPr>
        <w:t>s governance structure and a description of recent changes to ASIC</w:t>
      </w:r>
      <w:r w:rsidR="00EF40B0">
        <w:rPr>
          <w:rFonts w:cstheme="minorHAnsi"/>
        </w:rPr>
        <w:t>’</w:t>
      </w:r>
      <w:r w:rsidR="00E26C84" w:rsidRPr="003D4658">
        <w:rPr>
          <w:rFonts w:cstheme="minorHAnsi"/>
        </w:rPr>
        <w:t xml:space="preserve">s governance. </w:t>
      </w:r>
    </w:p>
    <w:p w14:paraId="25776C9C" w14:textId="4E78CAB5" w:rsidR="00E26C84" w:rsidRPr="00AE5E46" w:rsidRDefault="00E26C84" w:rsidP="00975036">
      <w:pPr>
        <w:pStyle w:val="numberedtext"/>
        <w:numPr>
          <w:ilvl w:val="0"/>
          <w:numId w:val="19"/>
        </w:numPr>
        <w:ind w:left="573" w:hanging="573"/>
      </w:pPr>
      <w:r w:rsidRPr="074F2C64">
        <w:t>This chapter then provides an overview of ASIC</w:t>
      </w:r>
      <w:r w:rsidR="00EF40B0">
        <w:t>’</w:t>
      </w:r>
      <w:r w:rsidRPr="074F2C64">
        <w:t xml:space="preserve">s </w:t>
      </w:r>
      <w:bookmarkStart w:id="67" w:name="_Hlk105758965"/>
      <w:r w:rsidRPr="074F2C64">
        <w:t>strategic prioritisation, planning and decision</w:t>
      </w:r>
      <w:r w:rsidR="00EF40B0">
        <w:rPr>
          <w:rFonts w:cstheme="minorHAnsi"/>
        </w:rPr>
        <w:noBreakHyphen/>
      </w:r>
      <w:r w:rsidRPr="074F2C64">
        <w:t>making processes</w:t>
      </w:r>
      <w:bookmarkEnd w:id="67"/>
      <w:r w:rsidRPr="074F2C64">
        <w:t>, considers feedback from stakeholders and ASIC staff, and describes the actions ASIC currently has underway to improve these processes. This chapter concludes with an overall assessment of ASIC</w:t>
      </w:r>
      <w:r w:rsidR="00EF40B0">
        <w:t>’</w:t>
      </w:r>
      <w:r w:rsidRPr="074F2C64">
        <w:t>s effectiveness and capability in this area.</w:t>
      </w:r>
    </w:p>
    <w:p w14:paraId="718E7276" w14:textId="13301905" w:rsidR="00E26C84" w:rsidRPr="00B84814" w:rsidRDefault="00E26C84" w:rsidP="00975036">
      <w:pPr>
        <w:pStyle w:val="numberedtext"/>
        <w:numPr>
          <w:ilvl w:val="0"/>
          <w:numId w:val="19"/>
        </w:numPr>
        <w:ind w:left="573" w:hanging="573"/>
      </w:pPr>
      <w:r w:rsidRPr="074F2C64">
        <w:t>ASIC</w:t>
      </w:r>
      <w:r w:rsidR="00EF40B0">
        <w:t>’</w:t>
      </w:r>
      <w:r w:rsidRPr="074F2C64">
        <w:t>s strategic prioritisation, planning and decision</w:t>
      </w:r>
      <w:r w:rsidR="00EF40B0">
        <w:rPr>
          <w:rFonts w:cstheme="minorHAnsi"/>
        </w:rPr>
        <w:noBreakHyphen/>
      </w:r>
      <w:r w:rsidRPr="074F2C64">
        <w:t>making processes support ASIC</w:t>
      </w:r>
      <w:r w:rsidR="00EF40B0">
        <w:t>’</w:t>
      </w:r>
      <w:r w:rsidRPr="074F2C64">
        <w:t>s ability to make deliberate choices about the activity it undertakes with the finite resources at its disposal. ASIC is not expected to prevent all harm or misconduct and must make risk</w:t>
      </w:r>
      <w:r w:rsidR="00EF40B0">
        <w:rPr>
          <w:rFonts w:cstheme="minorHAnsi"/>
        </w:rPr>
        <w:noBreakHyphen/>
      </w:r>
      <w:r w:rsidRPr="074F2C64">
        <w:t>based decisions about its areas of focus.</w:t>
      </w:r>
      <w:r w:rsidRPr="00B84814">
        <w:t xml:space="preserve"> </w:t>
      </w:r>
    </w:p>
    <w:p w14:paraId="00CA1840" w14:textId="77777777" w:rsidR="00E26C84" w:rsidRPr="004C4B0B" w:rsidRDefault="00E26C84" w:rsidP="000D21B0">
      <w:pPr>
        <w:pStyle w:val="Heading2"/>
        <w:rPr>
          <w:rFonts w:eastAsiaTheme="minorHAnsi"/>
        </w:rPr>
      </w:pPr>
      <w:bookmarkStart w:id="68" w:name="_Toc110241820"/>
      <w:r w:rsidRPr="004C4B0B">
        <w:rPr>
          <w:rFonts w:eastAsiaTheme="minorHAnsi"/>
        </w:rPr>
        <w:t>Governance and accountability at ASIC</w:t>
      </w:r>
      <w:bookmarkEnd w:id="68"/>
    </w:p>
    <w:p w14:paraId="6410FAA2" w14:textId="6EED986A" w:rsidR="00E26C84" w:rsidRPr="00B96D0B" w:rsidRDefault="00E26C84" w:rsidP="00975036">
      <w:pPr>
        <w:pStyle w:val="numberedtext"/>
        <w:numPr>
          <w:ilvl w:val="0"/>
          <w:numId w:val="19"/>
        </w:numPr>
        <w:ind w:left="573" w:hanging="573"/>
      </w:pPr>
      <w:r w:rsidRPr="081F4021">
        <w:t xml:space="preserve">ASIC is an independent statutory authority, established by the ASIC Act to administer, </w:t>
      </w:r>
      <w:r w:rsidR="004C4B0B" w:rsidRPr="081F4021">
        <w:t>among</w:t>
      </w:r>
      <w:r w:rsidRPr="081F4021">
        <w:t xml:space="preserve"> other things, the Corporations Act</w:t>
      </w:r>
      <w:r w:rsidR="004C4B0B" w:rsidRPr="081F4021">
        <w:t>.</w:t>
      </w:r>
      <w:r w:rsidRPr="081F4021">
        <w:t xml:space="preserve"> ASIC is subject to the </w:t>
      </w:r>
      <w:r w:rsidRPr="008069DB">
        <w:rPr>
          <w:i/>
        </w:rPr>
        <w:t xml:space="preserve">Public Governance, Performance and Accountability Act 2013 </w:t>
      </w:r>
      <w:r w:rsidRPr="081F4021">
        <w:t>(PGPA Act) and is a non</w:t>
      </w:r>
      <w:r w:rsidR="00EF40B0">
        <w:rPr>
          <w:rFonts w:cstheme="minorHAnsi"/>
        </w:rPr>
        <w:noBreakHyphen/>
      </w:r>
      <w:r w:rsidRPr="081F4021">
        <w:t>corporate Commonwealth entity.</w:t>
      </w:r>
    </w:p>
    <w:p w14:paraId="7A6BF935" w14:textId="28AFD222" w:rsidR="00E26C84" w:rsidRPr="00E35CF0" w:rsidRDefault="00E26C84" w:rsidP="00975036">
      <w:pPr>
        <w:pStyle w:val="numberedtext"/>
        <w:numPr>
          <w:ilvl w:val="0"/>
          <w:numId w:val="19"/>
        </w:numPr>
        <w:ind w:left="573" w:hanging="573"/>
      </w:pPr>
      <w:r w:rsidRPr="1CD91505">
        <w:t>The ASIC Act does not stipulate the requirements of ASIC</w:t>
      </w:r>
      <w:r w:rsidR="00EF40B0">
        <w:t>’</w:t>
      </w:r>
      <w:r w:rsidRPr="1CD91505">
        <w:t>s governance structure. ASIC is governed by commissioners, collectively referred to as the Commission, who are appointed by the Governor</w:t>
      </w:r>
      <w:r w:rsidR="00EF40B0">
        <w:noBreakHyphen/>
      </w:r>
      <w:r w:rsidRPr="1CD91505">
        <w:t xml:space="preserve">General on nomination by the responsible </w:t>
      </w:r>
      <w:r w:rsidR="00DE3411">
        <w:t>m</w:t>
      </w:r>
      <w:r w:rsidRPr="1CD91505">
        <w:t>inister. In accordance with</w:t>
      </w:r>
      <w:r w:rsidRPr="006A0F0A">
        <w:t xml:space="preserve"> </w:t>
      </w:r>
      <w:r w:rsidRPr="1CD91505">
        <w:t>s</w:t>
      </w:r>
      <w:r w:rsidR="001D6E57">
        <w:t xml:space="preserve"> </w:t>
      </w:r>
      <w:r w:rsidRPr="1CD91505">
        <w:t>9A(b) of the ASIC Act and PGPA Act</w:t>
      </w:r>
      <w:r w:rsidR="00DE0F49">
        <w:t>,</w:t>
      </w:r>
      <w:r w:rsidRPr="1CD91505">
        <w:t xml:space="preserve"> the </w:t>
      </w:r>
      <w:r w:rsidR="00D964B6" w:rsidRPr="1CD91505">
        <w:t>C</w:t>
      </w:r>
      <w:r w:rsidRPr="1CD91505">
        <w:t>hair is the Accountable Authority for ASIC.</w:t>
      </w:r>
    </w:p>
    <w:p w14:paraId="1B446230" w14:textId="0A65D9EA" w:rsidR="00E26C84" w:rsidRPr="00E35CF0" w:rsidRDefault="00E26C84" w:rsidP="00975036">
      <w:pPr>
        <w:pStyle w:val="numberedtext"/>
        <w:numPr>
          <w:ilvl w:val="0"/>
          <w:numId w:val="19"/>
        </w:numPr>
        <w:ind w:left="573" w:hanging="573"/>
        <w:rPr>
          <w:rFonts w:cstheme="minorHAnsi"/>
        </w:rPr>
      </w:pPr>
      <w:r w:rsidRPr="00E35CF0">
        <w:rPr>
          <w:rFonts w:cstheme="minorHAnsi"/>
        </w:rPr>
        <w:t>ASIC</w:t>
      </w:r>
      <w:r w:rsidR="00EF40B0">
        <w:rPr>
          <w:rFonts w:cstheme="minorHAnsi"/>
        </w:rPr>
        <w:t>’</w:t>
      </w:r>
      <w:r w:rsidRPr="00E35CF0">
        <w:rPr>
          <w:rFonts w:cstheme="minorHAnsi"/>
        </w:rPr>
        <w:t xml:space="preserve">s </w:t>
      </w:r>
      <w:r w:rsidRPr="006A0F0A">
        <w:t>Governance and Accountability Framework</w:t>
      </w:r>
      <w:r w:rsidRPr="00E35CF0">
        <w:rPr>
          <w:rFonts w:cstheme="minorHAnsi"/>
        </w:rPr>
        <w:t xml:space="preserve"> outlines the role of the Commission, </w:t>
      </w:r>
      <w:r w:rsidR="00D964B6">
        <w:rPr>
          <w:rFonts w:cstheme="minorHAnsi"/>
        </w:rPr>
        <w:t>C</w:t>
      </w:r>
      <w:r w:rsidRPr="00E35CF0">
        <w:rPr>
          <w:rFonts w:cstheme="minorHAnsi"/>
        </w:rPr>
        <w:t>hair and executive directors, identifies decision makers at each committee and summarises the purpose of each committee supporting ASIC</w:t>
      </w:r>
      <w:r w:rsidR="00EF40B0">
        <w:rPr>
          <w:rFonts w:cstheme="minorHAnsi"/>
        </w:rPr>
        <w:t>’</w:t>
      </w:r>
      <w:r w:rsidRPr="00E35CF0">
        <w:rPr>
          <w:rFonts w:cstheme="minorHAnsi"/>
        </w:rPr>
        <w:t xml:space="preserve">s leadership. This framework is depicted in </w:t>
      </w:r>
      <w:r w:rsidR="00840E20">
        <w:rPr>
          <w:rFonts w:cstheme="minorHAnsi"/>
        </w:rPr>
        <w:br/>
      </w:r>
      <w:r w:rsidR="00A6032A" w:rsidRPr="00CB5730">
        <w:t xml:space="preserve">Figure </w:t>
      </w:r>
      <w:r w:rsidR="00A6032A">
        <w:t>3.</w:t>
      </w:r>
      <w:r w:rsidR="00A6032A" w:rsidRPr="00CB5730">
        <w:t>1</w:t>
      </w:r>
      <w:r w:rsidRPr="00E35CF0">
        <w:rPr>
          <w:rFonts w:cstheme="minorHAnsi"/>
        </w:rPr>
        <w:t>.</w:t>
      </w:r>
      <w:r w:rsidRPr="00E35CF0" w:rsidDel="00525BD1">
        <w:rPr>
          <w:rFonts w:cstheme="minorHAnsi"/>
        </w:rPr>
        <w:t xml:space="preserve"> </w:t>
      </w:r>
    </w:p>
    <w:p w14:paraId="79EB0F68" w14:textId="34502C45" w:rsidR="004C4B0B" w:rsidRDefault="004C4B0B" w:rsidP="001655A9">
      <w:pPr>
        <w:pStyle w:val="FigureMainHeading"/>
      </w:pPr>
      <w:bookmarkStart w:id="69" w:name="Figure_3_1"/>
      <w:r w:rsidRPr="00CB5730">
        <w:lastRenderedPageBreak/>
        <w:t xml:space="preserve">Figure </w:t>
      </w:r>
      <w:r>
        <w:t>3.</w:t>
      </w:r>
      <w:r w:rsidRPr="00CB5730">
        <w:t>1</w:t>
      </w:r>
      <w:bookmarkEnd w:id="69"/>
      <w:r w:rsidRPr="00CB5730">
        <w:t>: ASIC governance framework and key roles as at July 2021</w:t>
      </w:r>
    </w:p>
    <w:p w14:paraId="49BAF4FA" w14:textId="77777777" w:rsidR="004C4B0B" w:rsidRDefault="004C4B0B" w:rsidP="001A1CBE">
      <w:pPr>
        <w:pStyle w:val="ChartGraphic"/>
        <w:rPr>
          <w:highlight w:val="yellow"/>
        </w:rPr>
      </w:pPr>
      <w:r w:rsidRPr="001A1CBE">
        <w:rPr>
          <w:noProof/>
        </w:rPr>
        <w:drawing>
          <wp:inline distT="0" distB="0" distL="0" distR="0" wp14:anchorId="6ED60786" wp14:editId="43B31F92">
            <wp:extent cx="5424171" cy="3659162"/>
            <wp:effectExtent l="0" t="0" r="5080" b="0"/>
            <wp:docPr id="12" name="Picture 12" descr="Figure 3.1 contains a map of ASIC governance framework and key roles as at July 2021. The top row lists ‘Commission’ on the top left and ‘Accountable authority’ on the top right. ‘Office of the chair’ is listed below the Commission and ‘Audit and Risk Committee’ below the Accountable authority. The next category below Commission is the ‘Commission committees’. This includes ‘Commission Enforcement Committee’, ‘Commission Regulatory Committee’, Commission Steering Committee’ and ‘Commission Risk Committee’. ‘Management committees’ are listed below Accountable authority and connected to the Commission committees. Management committees include ‘Executive Risk Committee’ and ‘Executive Committee’. The third category under the Commission is ‘Specialist sub-committees’ and includes ‘Emerging and Threats and Harm Committee’, ‘Regulatory Policy Committee’ and Regulatory Issue Committee.’ ‘Directly under the Accountable authority is the ‘Chief operating officer’, then ‘Executive directors’ and then ‘Senior executive leaders’. ‘External panels’ are listed at the bottom of the figure which include ‘Consumer Consultative Panel’, ‘Markets Consultative Panel’, ‘Digital Finance Advisory Panel’, ‘Financial Advisers Consultative Panel’, ‘Consultative Panel’, ‘Cyber Consultative Panel’ and ‘Corporate Governance Consultative Pa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1 contains a map of ASIC governance framework and key roles as at July 2021. The top row lists ‘Commission’ on the top left and ‘Accountable authority’ on the top right. ‘Office of the chair’ is listed below the Commission and ‘Audit and Risk Committee’ below the Accountable authority. The next category below Commission is the ‘Commission committees’. This includes ‘Commission Enforcement Committee’, ‘Commission Regulatory Committee’, Commission Steering Committee’ and ‘Commission Risk Committee’. ‘Management committees’ are listed below Accountable authority and connected to the Commission committees. Management committees include ‘Executive Risk Committee’ and ‘Executive Committee’. The third category under the Commission is ‘Specialist sub-committees’ and includes ‘Emerging and Threats and Harm Committee’, ‘Regulatory Policy Committee’ and Regulatory Issue Committee.’ ‘Directly under the Accountable authority is the ‘Chief operating officer’, then ‘Executive directors’ and then ‘Senior executive leaders’. ‘External panels’ are listed at the bottom of the figure which include ‘Consumer Consultative Panel’, ‘Markets Consultative Panel’, ‘Digital Finance Advisory Panel’, ‘Financial Advisers Consultative Panel’, ‘Consultative Panel’, ‘Cyber Consultative Panel’ and ‘Corporate Governance Consultative Panel’.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24171" cy="3659162"/>
                    </a:xfrm>
                    <a:prstGeom prst="rect">
                      <a:avLst/>
                    </a:prstGeom>
                  </pic:spPr>
                </pic:pic>
              </a:graphicData>
            </a:graphic>
          </wp:inline>
        </w:drawing>
      </w:r>
    </w:p>
    <w:p w14:paraId="63768A6F" w14:textId="290DD0A4" w:rsidR="001A64E2" w:rsidRPr="001A64E2" w:rsidRDefault="001A64E2" w:rsidP="001A64E2">
      <w:pPr>
        <w:ind w:left="567"/>
        <w:rPr>
          <w:sz w:val="18"/>
          <w:szCs w:val="16"/>
        </w:rPr>
      </w:pPr>
      <w:r w:rsidRPr="001A64E2">
        <w:rPr>
          <w:sz w:val="18"/>
          <w:szCs w:val="16"/>
        </w:rPr>
        <w:t xml:space="preserve">Source: ASIC, </w:t>
      </w:r>
      <w:r w:rsidRPr="00853A28">
        <w:rPr>
          <w:sz w:val="18"/>
          <w:szCs w:val="16"/>
        </w:rPr>
        <w:t xml:space="preserve">Materials supplied to this </w:t>
      </w:r>
      <w:r w:rsidR="004D4914" w:rsidRPr="00853A28">
        <w:rPr>
          <w:sz w:val="18"/>
          <w:szCs w:val="16"/>
        </w:rPr>
        <w:t>r</w:t>
      </w:r>
      <w:r w:rsidRPr="00853A28">
        <w:rPr>
          <w:sz w:val="18"/>
          <w:szCs w:val="16"/>
        </w:rPr>
        <w:t>eview</w:t>
      </w:r>
      <w:r w:rsidRPr="001A64E2">
        <w:rPr>
          <w:sz w:val="18"/>
          <w:szCs w:val="16"/>
        </w:rPr>
        <w:t>, 2022.</w:t>
      </w:r>
    </w:p>
    <w:p w14:paraId="2454FFC0" w14:textId="12405B3E" w:rsidR="004C4B0B" w:rsidRPr="00034E3A" w:rsidRDefault="004C4B0B" w:rsidP="00975036">
      <w:pPr>
        <w:pStyle w:val="numberedtext"/>
        <w:numPr>
          <w:ilvl w:val="0"/>
          <w:numId w:val="19"/>
        </w:numPr>
        <w:ind w:left="573" w:hanging="573"/>
      </w:pPr>
      <w:r w:rsidRPr="40575E45">
        <w:t>The Commission is composed of 5 full</w:t>
      </w:r>
      <w:r w:rsidR="00EF40B0">
        <w:noBreakHyphen/>
      </w:r>
      <w:r w:rsidRPr="40575E45">
        <w:t xml:space="preserve">time members consisting of the </w:t>
      </w:r>
      <w:r w:rsidR="000B4823">
        <w:t>C</w:t>
      </w:r>
      <w:r w:rsidRPr="40575E45">
        <w:t>hair, 2 deputy chairs and 2 commissioners.</w:t>
      </w:r>
      <w:r w:rsidR="00F17939" w:rsidRPr="00B86F70">
        <w:rPr>
          <w:vertAlign w:val="superscript"/>
        </w:rPr>
        <w:footnoteReference w:id="35"/>
      </w:r>
    </w:p>
    <w:p w14:paraId="6BE435EC" w14:textId="3D7E37DE" w:rsidR="00E26C84" w:rsidRPr="00034E3A" w:rsidRDefault="00E26C84" w:rsidP="00975036">
      <w:pPr>
        <w:pStyle w:val="numberedtext"/>
        <w:numPr>
          <w:ilvl w:val="0"/>
          <w:numId w:val="19"/>
        </w:numPr>
        <w:ind w:left="573" w:hanging="573"/>
      </w:pPr>
      <w:r w:rsidRPr="40575E45">
        <w:t>The Commission acts as a non</w:t>
      </w:r>
      <w:r w:rsidR="00EF40B0">
        <w:rPr>
          <w:rFonts w:cstheme="minorHAnsi"/>
        </w:rPr>
        <w:noBreakHyphen/>
      </w:r>
      <w:r w:rsidRPr="40575E45">
        <w:t xml:space="preserve">executive body under the leadership of the </w:t>
      </w:r>
      <w:r w:rsidR="000B4823">
        <w:t>C</w:t>
      </w:r>
      <w:r w:rsidRPr="40575E45">
        <w:t>hair.</w:t>
      </w:r>
      <w:r w:rsidRPr="00B86F70">
        <w:rPr>
          <w:vertAlign w:val="superscript"/>
        </w:rPr>
        <w:footnoteReference w:id="36"/>
      </w:r>
      <w:r w:rsidRPr="006A0F0A">
        <w:t xml:space="preserve"> </w:t>
      </w:r>
      <w:r w:rsidRPr="40575E45">
        <w:t xml:space="preserve">The Commission focuses </w:t>
      </w:r>
      <w:r w:rsidRPr="40575E45" w:rsidDel="0025587F">
        <w:t>on</w:t>
      </w:r>
      <w:r w:rsidRPr="40575E45">
        <w:t xml:space="preserve"> high level regulatory and</w:t>
      </w:r>
      <w:r w:rsidRPr="40575E45" w:rsidDel="0025587F">
        <w:t xml:space="preserve"> </w:t>
      </w:r>
      <w:r w:rsidRPr="40575E45">
        <w:t>statutory decision</w:t>
      </w:r>
      <w:r w:rsidR="00EF40B0">
        <w:noBreakHyphen/>
      </w:r>
      <w:r w:rsidRPr="40575E45">
        <w:t xml:space="preserve">making and stakeholder management. </w:t>
      </w:r>
    </w:p>
    <w:p w14:paraId="2CF5A263" w14:textId="553D39CB" w:rsidR="00E26C84" w:rsidRPr="00AA05A1" w:rsidRDefault="00E26C84" w:rsidP="00975036">
      <w:pPr>
        <w:pStyle w:val="numberedtext"/>
        <w:numPr>
          <w:ilvl w:val="0"/>
          <w:numId w:val="19"/>
        </w:numPr>
        <w:ind w:left="573" w:hanging="573"/>
        <w:rPr>
          <w:rFonts w:cstheme="minorHAnsi"/>
        </w:rPr>
      </w:pPr>
      <w:r w:rsidRPr="00AA05A1">
        <w:rPr>
          <w:rFonts w:cstheme="minorHAnsi"/>
        </w:rPr>
        <w:t xml:space="preserve">As Accountable Authority, the </w:t>
      </w:r>
      <w:r w:rsidR="00D22D86">
        <w:rPr>
          <w:rFonts w:cstheme="minorHAnsi"/>
        </w:rPr>
        <w:t>C</w:t>
      </w:r>
      <w:r w:rsidRPr="00AA05A1">
        <w:rPr>
          <w:rFonts w:cstheme="minorHAnsi"/>
        </w:rPr>
        <w:t>hair is responsible for, and has control over, ASIC</w:t>
      </w:r>
      <w:r w:rsidR="00EF40B0">
        <w:rPr>
          <w:rFonts w:cstheme="minorHAnsi"/>
        </w:rPr>
        <w:t>’</w:t>
      </w:r>
      <w:r w:rsidRPr="00AA05A1">
        <w:rPr>
          <w:rFonts w:cstheme="minorHAnsi"/>
        </w:rPr>
        <w:t xml:space="preserve">s operations. While the Commission provides support to the </w:t>
      </w:r>
      <w:r w:rsidR="002D67F1">
        <w:rPr>
          <w:rFonts w:cstheme="minorHAnsi"/>
        </w:rPr>
        <w:t>C</w:t>
      </w:r>
      <w:r w:rsidRPr="00AA05A1">
        <w:rPr>
          <w:rFonts w:cstheme="minorHAnsi"/>
        </w:rPr>
        <w:t xml:space="preserve">hair on the oversight of ASIC, the </w:t>
      </w:r>
      <w:r w:rsidR="000B4823">
        <w:rPr>
          <w:rFonts w:cstheme="minorHAnsi"/>
        </w:rPr>
        <w:t>C</w:t>
      </w:r>
      <w:r w:rsidRPr="00AA05A1">
        <w:rPr>
          <w:rFonts w:cstheme="minorHAnsi"/>
        </w:rPr>
        <w:t>hair relies on ASIC</w:t>
      </w:r>
      <w:r w:rsidR="00EF40B0">
        <w:rPr>
          <w:rFonts w:cstheme="minorHAnsi"/>
        </w:rPr>
        <w:t>’</w:t>
      </w:r>
      <w:r w:rsidRPr="00AA05A1">
        <w:rPr>
          <w:rFonts w:cstheme="minorHAnsi"/>
        </w:rPr>
        <w:t>s senior executives to carry out day</w:t>
      </w:r>
      <w:r w:rsidR="00EF40B0">
        <w:rPr>
          <w:rFonts w:cstheme="minorHAnsi"/>
        </w:rPr>
        <w:noBreakHyphen/>
      </w:r>
      <w:r w:rsidRPr="00AA05A1">
        <w:rPr>
          <w:rFonts w:cstheme="minorHAnsi"/>
        </w:rPr>
        <w:t>to</w:t>
      </w:r>
      <w:r w:rsidR="00EF40B0">
        <w:rPr>
          <w:rFonts w:cstheme="minorHAnsi"/>
        </w:rPr>
        <w:noBreakHyphen/>
      </w:r>
      <w:r w:rsidRPr="00AA05A1">
        <w:rPr>
          <w:rFonts w:cstheme="minorHAnsi"/>
        </w:rPr>
        <w:t>day management.</w:t>
      </w:r>
    </w:p>
    <w:p w14:paraId="666368FC" w14:textId="5565DF21" w:rsidR="00E26C84" w:rsidRPr="00AA05A1" w:rsidRDefault="00E26C84" w:rsidP="00975036">
      <w:pPr>
        <w:pStyle w:val="numberedtext"/>
        <w:numPr>
          <w:ilvl w:val="0"/>
          <w:numId w:val="19"/>
        </w:numPr>
        <w:ind w:left="573" w:hanging="573"/>
        <w:rPr>
          <w:rFonts w:cstheme="minorHAnsi"/>
        </w:rPr>
      </w:pPr>
      <w:r w:rsidRPr="00AA05A1">
        <w:rPr>
          <w:rFonts w:cstheme="minorHAnsi"/>
        </w:rPr>
        <w:t xml:space="preserve">The </w:t>
      </w:r>
      <w:r w:rsidR="00BB4B4D">
        <w:rPr>
          <w:rFonts w:cstheme="minorHAnsi"/>
        </w:rPr>
        <w:t>C</w:t>
      </w:r>
      <w:r w:rsidRPr="00AA05A1">
        <w:rPr>
          <w:rFonts w:cstheme="minorHAnsi"/>
        </w:rPr>
        <w:t xml:space="preserve">hief </w:t>
      </w:r>
      <w:r w:rsidR="00BB4B4D">
        <w:rPr>
          <w:rFonts w:cstheme="minorHAnsi"/>
        </w:rPr>
        <w:t>O</w:t>
      </w:r>
      <w:r w:rsidRPr="00AA05A1">
        <w:rPr>
          <w:rFonts w:cstheme="minorHAnsi"/>
        </w:rPr>
        <w:t xml:space="preserve">perating </w:t>
      </w:r>
      <w:r w:rsidR="00BB4B4D">
        <w:rPr>
          <w:rFonts w:cstheme="minorHAnsi"/>
        </w:rPr>
        <w:t>O</w:t>
      </w:r>
      <w:r w:rsidRPr="00AA05A1">
        <w:rPr>
          <w:rFonts w:cstheme="minorHAnsi"/>
        </w:rPr>
        <w:t>fficer</w:t>
      </w:r>
      <w:r w:rsidR="004C4B0B" w:rsidRPr="00AA05A1">
        <w:rPr>
          <w:rFonts w:cstheme="minorHAnsi"/>
        </w:rPr>
        <w:t>,</w:t>
      </w:r>
      <w:r w:rsidRPr="00AA05A1">
        <w:rPr>
          <w:rFonts w:cstheme="minorHAnsi"/>
        </w:rPr>
        <w:t xml:space="preserve"> a new role established in 2021, is responsible for long</w:t>
      </w:r>
      <w:r w:rsidR="00EF40B0">
        <w:rPr>
          <w:rFonts w:cstheme="minorHAnsi"/>
        </w:rPr>
        <w:noBreakHyphen/>
      </w:r>
      <w:r w:rsidRPr="00AA05A1">
        <w:rPr>
          <w:rFonts w:cstheme="minorHAnsi"/>
        </w:rPr>
        <w:t xml:space="preserve">term organisational planning and the implementation of organisational strategy. </w:t>
      </w:r>
      <w:r w:rsidR="004C4B0B" w:rsidRPr="00AA05A1">
        <w:rPr>
          <w:rFonts w:cstheme="minorHAnsi"/>
        </w:rPr>
        <w:t xml:space="preserve">The </w:t>
      </w:r>
      <w:r w:rsidR="009274BA">
        <w:rPr>
          <w:rFonts w:cstheme="minorHAnsi"/>
        </w:rPr>
        <w:t>Chief Operating Officer</w:t>
      </w:r>
      <w:r w:rsidRPr="00AA05A1">
        <w:rPr>
          <w:rFonts w:cstheme="minorHAnsi"/>
        </w:rPr>
        <w:t xml:space="preserve"> is the delegated </w:t>
      </w:r>
      <w:r w:rsidR="00455BCE">
        <w:rPr>
          <w:rFonts w:cstheme="minorHAnsi"/>
        </w:rPr>
        <w:t>c</w:t>
      </w:r>
      <w:r w:rsidRPr="00AA05A1">
        <w:rPr>
          <w:rFonts w:cstheme="minorHAnsi"/>
        </w:rPr>
        <w:t>hair of the Executive Committee, ASIC</w:t>
      </w:r>
      <w:r w:rsidR="00EF40B0">
        <w:rPr>
          <w:rFonts w:cstheme="minorHAnsi"/>
        </w:rPr>
        <w:t>’</w:t>
      </w:r>
      <w:r w:rsidRPr="00AA05A1">
        <w:rPr>
          <w:rFonts w:cstheme="minorHAnsi"/>
        </w:rPr>
        <w:t>s peak management committee consisting of ASIC</w:t>
      </w:r>
      <w:r w:rsidR="00EF40B0">
        <w:rPr>
          <w:rFonts w:cstheme="minorHAnsi"/>
        </w:rPr>
        <w:t>’</w:t>
      </w:r>
      <w:r w:rsidRPr="00AA05A1">
        <w:rPr>
          <w:rFonts w:cstheme="minorHAnsi"/>
        </w:rPr>
        <w:t xml:space="preserve">s executive directors. </w:t>
      </w:r>
    </w:p>
    <w:p w14:paraId="0EBF6E28" w14:textId="3886EB23" w:rsidR="00E26C84" w:rsidRPr="00AA05A1" w:rsidRDefault="00E26C84" w:rsidP="00975036">
      <w:pPr>
        <w:pStyle w:val="numberedtext"/>
        <w:numPr>
          <w:ilvl w:val="0"/>
          <w:numId w:val="19"/>
        </w:numPr>
        <w:ind w:left="573" w:hanging="573"/>
      </w:pPr>
      <w:r w:rsidRPr="154CD74B">
        <w:t>The Executive Committee makes day</w:t>
      </w:r>
      <w:r w:rsidR="00EF40B0">
        <w:rPr>
          <w:rFonts w:cstheme="minorHAnsi"/>
        </w:rPr>
        <w:noBreakHyphen/>
      </w:r>
      <w:r w:rsidRPr="154CD74B">
        <w:t>to</w:t>
      </w:r>
      <w:r w:rsidR="00EF40B0">
        <w:rPr>
          <w:rFonts w:cstheme="minorHAnsi"/>
        </w:rPr>
        <w:noBreakHyphen/>
      </w:r>
      <w:r w:rsidRPr="154CD74B">
        <w:t>day decisions about ASIC</w:t>
      </w:r>
      <w:r w:rsidR="00EF40B0">
        <w:t>’</w:t>
      </w:r>
      <w:r w:rsidRPr="154CD74B">
        <w:t xml:space="preserve">s operations or elevates matters to the Commission for decision. As a result, the Executive Committee and </w:t>
      </w:r>
      <w:r w:rsidR="009274BA">
        <w:t>Chief Operating Officer</w:t>
      </w:r>
      <w:r w:rsidRPr="154CD74B">
        <w:t xml:space="preserve"> enable the Commission to focus on strategic matters, external engagement and communication. </w:t>
      </w:r>
    </w:p>
    <w:p w14:paraId="60F1A981" w14:textId="433EFB58" w:rsidR="00E26C84" w:rsidRPr="002C6D46" w:rsidRDefault="00E26C84" w:rsidP="00975036">
      <w:pPr>
        <w:pStyle w:val="numberedtext"/>
        <w:numPr>
          <w:ilvl w:val="0"/>
          <w:numId w:val="19"/>
        </w:numPr>
        <w:ind w:left="573" w:hanging="573"/>
      </w:pPr>
      <w:r w:rsidRPr="154CD74B">
        <w:t>Executive directors are responsible for the development and delivery of group business plans and for day</w:t>
      </w:r>
      <w:r w:rsidR="00EF40B0">
        <w:rPr>
          <w:rFonts w:cstheme="minorHAnsi"/>
        </w:rPr>
        <w:noBreakHyphen/>
      </w:r>
      <w:r w:rsidRPr="154CD74B">
        <w:t>to</w:t>
      </w:r>
      <w:r w:rsidR="00EF40B0">
        <w:rPr>
          <w:rFonts w:cstheme="minorHAnsi"/>
        </w:rPr>
        <w:noBreakHyphen/>
      </w:r>
      <w:r w:rsidRPr="154CD74B">
        <w:t>day regulatory and enforcement decisions.</w:t>
      </w:r>
      <w:r w:rsidRPr="00B86F70">
        <w:rPr>
          <w:vertAlign w:val="superscript"/>
        </w:rPr>
        <w:footnoteReference w:id="37"/>
      </w:r>
      <w:r w:rsidRPr="154CD74B">
        <w:t xml:space="preserve"> There are 7 executive directors responsible for Strategy, Financial Services and Wealth, Financial Services Enforcement, </w:t>
      </w:r>
      <w:r w:rsidRPr="154CD74B">
        <w:lastRenderedPageBreak/>
        <w:t>Markets, Markets Enforcemen</w:t>
      </w:r>
      <w:r w:rsidR="00D206C0" w:rsidRPr="154CD74B">
        <w:t>t, the Chief Legal Office</w:t>
      </w:r>
      <w:r w:rsidRPr="154CD74B">
        <w:t xml:space="preserve"> and Operations. The executive directors report to the </w:t>
      </w:r>
      <w:r w:rsidR="009274BA">
        <w:t>Chief Operating Officer</w:t>
      </w:r>
      <w:r w:rsidR="004C4B0B" w:rsidRPr="154CD74B">
        <w:t>.</w:t>
      </w:r>
      <w:r w:rsidRPr="154CD74B">
        <w:t xml:space="preserve"> In addition to the executive directors, the chief of staff advises the </w:t>
      </w:r>
      <w:r w:rsidR="009A1852">
        <w:t>C</w:t>
      </w:r>
      <w:r w:rsidRPr="154CD74B">
        <w:t>hair and, among other roles, operates as a link between the Commission, senior leaders and key external stakeholders.</w:t>
      </w:r>
    </w:p>
    <w:p w14:paraId="3200A3D0" w14:textId="388B4239" w:rsidR="00E26C84" w:rsidRPr="002C6D46" w:rsidRDefault="00E26C84" w:rsidP="00975036">
      <w:pPr>
        <w:pStyle w:val="numberedtext"/>
        <w:numPr>
          <w:ilvl w:val="0"/>
          <w:numId w:val="19"/>
        </w:numPr>
        <w:ind w:left="573" w:hanging="573"/>
      </w:pPr>
      <w:bookmarkStart w:id="70" w:name="_Ref110262268"/>
      <w:r w:rsidRPr="41A5E186">
        <w:t>ASIC</w:t>
      </w:r>
      <w:r w:rsidR="00EF40B0">
        <w:t>’</w:t>
      </w:r>
      <w:r w:rsidRPr="41A5E186">
        <w:t>s internal committees assist the performance of ASIC</w:t>
      </w:r>
      <w:r w:rsidR="00EF40B0">
        <w:t>’</w:t>
      </w:r>
      <w:r w:rsidRPr="41A5E186">
        <w:t xml:space="preserve">s regulatory and governance functions. These include Commission </w:t>
      </w:r>
      <w:r w:rsidR="00E11E9B">
        <w:t>c</w:t>
      </w:r>
      <w:r w:rsidRPr="41A5E186">
        <w:t xml:space="preserve">ommittees which all commissioners attend, </w:t>
      </w:r>
      <w:r w:rsidR="00E11E9B">
        <w:t>s</w:t>
      </w:r>
      <w:r w:rsidRPr="41A5E186">
        <w:t xml:space="preserve">pecialist </w:t>
      </w:r>
      <w:r w:rsidR="00E11E9B">
        <w:t>s</w:t>
      </w:r>
      <w:r w:rsidRPr="41A5E186">
        <w:t>ub</w:t>
      </w:r>
      <w:r w:rsidR="00EF40B0">
        <w:rPr>
          <w:rFonts w:cstheme="minorHAnsi"/>
        </w:rPr>
        <w:noBreakHyphen/>
      </w:r>
      <w:r w:rsidR="00E11E9B">
        <w:t>c</w:t>
      </w:r>
      <w:r w:rsidRPr="41A5E186">
        <w:t xml:space="preserve">ommittees comprised of commissioners and/or senior executives, and </w:t>
      </w:r>
      <w:r w:rsidR="00E11E9B">
        <w:t>m</w:t>
      </w:r>
      <w:r w:rsidRPr="41A5E186">
        <w:t xml:space="preserve">anagement </w:t>
      </w:r>
      <w:r w:rsidR="00E11E9B">
        <w:t>c</w:t>
      </w:r>
      <w:r w:rsidRPr="41A5E186">
        <w:t>ommittees.</w:t>
      </w:r>
      <w:bookmarkEnd w:id="70"/>
    </w:p>
    <w:p w14:paraId="5D993642" w14:textId="118815C4" w:rsidR="00E26C84" w:rsidRPr="002C6D46" w:rsidRDefault="00E26C84" w:rsidP="00975036">
      <w:pPr>
        <w:pStyle w:val="numberedtext"/>
        <w:numPr>
          <w:ilvl w:val="0"/>
          <w:numId w:val="19"/>
        </w:numPr>
        <w:ind w:left="573" w:hanging="573"/>
        <w:rPr>
          <w:rFonts w:cstheme="minorHAnsi"/>
        </w:rPr>
      </w:pPr>
      <w:r w:rsidRPr="002C6D46">
        <w:rPr>
          <w:rFonts w:cstheme="minorHAnsi"/>
        </w:rPr>
        <w:t>Although not formally part of ASIC</w:t>
      </w:r>
      <w:r w:rsidR="00EF40B0">
        <w:rPr>
          <w:rFonts w:cstheme="minorHAnsi"/>
        </w:rPr>
        <w:t>’</w:t>
      </w:r>
      <w:r w:rsidRPr="002C6D46">
        <w:rPr>
          <w:rFonts w:cstheme="minorHAnsi"/>
        </w:rPr>
        <w:t xml:space="preserve">s governance structure, </w:t>
      </w:r>
      <w:r w:rsidR="004C4B0B" w:rsidRPr="006A0F0A">
        <w:t>7</w:t>
      </w:r>
      <w:r w:rsidRPr="002C6D46">
        <w:rPr>
          <w:rFonts w:cstheme="minorHAnsi"/>
        </w:rPr>
        <w:t xml:space="preserve"> external panels support ASIC to understand developments and systemic risks within the regulated and unregulated industries operating within the financial system.</w:t>
      </w:r>
      <w:bookmarkEnd w:id="66"/>
      <w:r w:rsidRPr="002C6D46">
        <w:rPr>
          <w:rFonts w:cstheme="minorHAnsi"/>
        </w:rPr>
        <w:t xml:space="preserve"> These are:</w:t>
      </w:r>
    </w:p>
    <w:p w14:paraId="226099C7" w14:textId="313E1199" w:rsidR="00E94E76" w:rsidRDefault="00E94E76" w:rsidP="00AC2839">
      <w:pPr>
        <w:pStyle w:val="Bullet"/>
      </w:pPr>
      <w:r w:rsidRPr="00726EDC">
        <w:rPr>
          <w:b/>
        </w:rPr>
        <w:t>ASIC Consumer Consultative Panel</w:t>
      </w:r>
      <w:r w:rsidR="00565E62">
        <w:t xml:space="preserve">: </w:t>
      </w:r>
      <w:r>
        <w:t>raises c</w:t>
      </w:r>
      <w:r w:rsidRPr="00367347">
        <w:t xml:space="preserve">urrent and emerging consumer issues in </w:t>
      </w:r>
      <w:r>
        <w:t>regulated sectors</w:t>
      </w:r>
      <w:r w:rsidRPr="00367347">
        <w:t xml:space="preserve">; provides feedback on </w:t>
      </w:r>
      <w:r w:rsidRPr="00AC2839">
        <w:t>proposed</w:t>
      </w:r>
      <w:r w:rsidRPr="00367347">
        <w:t xml:space="preserve"> regulatory changes; and informs</w:t>
      </w:r>
      <w:r>
        <w:t xml:space="preserve"> </w:t>
      </w:r>
      <w:r w:rsidRPr="00367347">
        <w:t>the development and delivery of ASIC</w:t>
      </w:r>
      <w:r w:rsidR="00EF40B0">
        <w:t>’</w:t>
      </w:r>
      <w:r w:rsidRPr="00367347">
        <w:t xml:space="preserve">s </w:t>
      </w:r>
      <w:r>
        <w:t>priorities.</w:t>
      </w:r>
    </w:p>
    <w:p w14:paraId="59C357B1" w14:textId="21281B44" w:rsidR="00E26C84" w:rsidRPr="00591421" w:rsidRDefault="00E26C84" w:rsidP="00AC2839">
      <w:pPr>
        <w:pStyle w:val="Bullet"/>
      </w:pPr>
      <w:r w:rsidRPr="00726EDC">
        <w:rPr>
          <w:b/>
        </w:rPr>
        <w:t>ASIC Consultative Panel</w:t>
      </w:r>
      <w:r w:rsidR="00565E62">
        <w:rPr>
          <w:b/>
          <w:bCs/>
        </w:rPr>
        <w:t>:</w:t>
      </w:r>
      <w:r w:rsidR="00565E62">
        <w:t xml:space="preserve"> </w:t>
      </w:r>
      <w:r w:rsidRPr="00535C63">
        <w:t xml:space="preserve">enables ASIC to </w:t>
      </w:r>
      <w:r w:rsidRPr="00AC2839">
        <w:t>consult</w:t>
      </w:r>
      <w:r w:rsidRPr="00535C63">
        <w:t xml:space="preserve"> on proposed regulatory changes; provides intelligence on the external environment, including market conditions; and identifies threats and harms in regulat</w:t>
      </w:r>
      <w:r>
        <w:t xml:space="preserve">ed markets. </w:t>
      </w:r>
      <w:r w:rsidRPr="00706E99">
        <w:t>Panel members are senior representatives from the academic, consumer, industry, legal and regulatory sectors.</w:t>
      </w:r>
    </w:p>
    <w:p w14:paraId="6FCF30FB" w14:textId="066BADAB" w:rsidR="00E26C84" w:rsidRPr="00591421" w:rsidRDefault="00E26C84" w:rsidP="00AC2839">
      <w:pPr>
        <w:pStyle w:val="Bullet"/>
      </w:pPr>
      <w:r w:rsidRPr="00726EDC">
        <w:rPr>
          <w:b/>
        </w:rPr>
        <w:t>Markets Consultative Panel</w:t>
      </w:r>
      <w:r w:rsidR="00565E62">
        <w:t xml:space="preserve">: </w:t>
      </w:r>
      <w:r w:rsidRPr="00507D6F">
        <w:t xml:space="preserve">advises ASIC </w:t>
      </w:r>
      <w:r w:rsidRPr="00AC2839">
        <w:t>on</w:t>
      </w:r>
      <w:r w:rsidRPr="00507D6F">
        <w:t xml:space="preserve"> </w:t>
      </w:r>
      <w:r w:rsidR="00AF08F9">
        <w:t>the</w:t>
      </w:r>
      <w:r w:rsidRPr="00507D6F">
        <w:t xml:space="preserve"> approach to its responsibilities for day</w:t>
      </w:r>
      <w:r w:rsidR="00EF40B0">
        <w:noBreakHyphen/>
      </w:r>
      <w:r w:rsidRPr="00507D6F">
        <w:t>to</w:t>
      </w:r>
      <w:r w:rsidR="00EF40B0">
        <w:noBreakHyphen/>
      </w:r>
      <w:r w:rsidRPr="00507D6F">
        <w:t>day supervision of the Australian market and on broader market developments</w:t>
      </w:r>
      <w:r>
        <w:t>.</w:t>
      </w:r>
    </w:p>
    <w:p w14:paraId="7A971387" w14:textId="6FC99D9B" w:rsidR="00E26C84" w:rsidRPr="00591421" w:rsidRDefault="1B886514" w:rsidP="00AC2839">
      <w:pPr>
        <w:pStyle w:val="Bullet"/>
      </w:pPr>
      <w:r w:rsidRPr="096CD60E">
        <w:rPr>
          <w:b/>
          <w:bCs/>
        </w:rPr>
        <w:t>Digital Finance Advisory Panel</w:t>
      </w:r>
      <w:r w:rsidR="6F99DDB8">
        <w:t xml:space="preserve">: </w:t>
      </w:r>
      <w:r>
        <w:t>helps inform ASIC</w:t>
      </w:r>
      <w:r w:rsidR="00EF40B0">
        <w:t>’</w:t>
      </w:r>
      <w:r w:rsidR="69053C7D">
        <w:t>s</w:t>
      </w:r>
      <w:r>
        <w:t xml:space="preserve"> efforts in the </w:t>
      </w:r>
      <w:r w:rsidR="3BF64E29">
        <w:t>areas of financial technology (</w:t>
      </w:r>
      <w:r>
        <w:t>fintech</w:t>
      </w:r>
      <w:r w:rsidR="3BF64E29">
        <w:t>)</w:t>
      </w:r>
      <w:r>
        <w:t xml:space="preserve"> </w:t>
      </w:r>
      <w:r w:rsidR="3433E2F9">
        <w:t>and reg</w:t>
      </w:r>
      <w:r w:rsidR="0FF63BE2">
        <w:t xml:space="preserve">ulatory </w:t>
      </w:r>
      <w:r w:rsidR="0FF63BE2" w:rsidRPr="00AC2839">
        <w:t>technology</w:t>
      </w:r>
      <w:r w:rsidR="0FF63BE2">
        <w:t xml:space="preserve"> (regtech)</w:t>
      </w:r>
      <w:r>
        <w:t>.</w:t>
      </w:r>
    </w:p>
    <w:p w14:paraId="10D5161C" w14:textId="6BF32E09" w:rsidR="00E26C84" w:rsidRPr="00591421" w:rsidRDefault="00E26C84" w:rsidP="00AC2839">
      <w:pPr>
        <w:pStyle w:val="Bullet"/>
      </w:pPr>
      <w:r w:rsidRPr="00726EDC">
        <w:rPr>
          <w:b/>
        </w:rPr>
        <w:t>Financial Advisers Consultative Panel</w:t>
      </w:r>
      <w:r w:rsidR="00565E62">
        <w:t xml:space="preserve">: </w:t>
      </w:r>
      <w:r w:rsidRPr="00AC2839">
        <w:t>provides</w:t>
      </w:r>
      <w:r w:rsidRPr="00523306">
        <w:t xml:space="preserve"> ASIC with views on a broad range of issues relating to the financial advice industry</w:t>
      </w:r>
      <w:r>
        <w:t>.</w:t>
      </w:r>
    </w:p>
    <w:p w14:paraId="59BDF195" w14:textId="5978A2A9" w:rsidR="00E26C84" w:rsidRPr="00C97E4C" w:rsidRDefault="00E26C84" w:rsidP="00AC2839">
      <w:pPr>
        <w:pStyle w:val="Bullet"/>
      </w:pPr>
      <w:r w:rsidRPr="00726EDC">
        <w:rPr>
          <w:b/>
        </w:rPr>
        <w:t>Cyber Consultative Panel</w:t>
      </w:r>
      <w:r w:rsidR="00565E62">
        <w:t xml:space="preserve">: </w:t>
      </w:r>
      <w:r w:rsidRPr="00C97E4C">
        <w:t xml:space="preserve">advises ASIC on </w:t>
      </w:r>
      <w:r w:rsidRPr="00AC2839">
        <w:t>its</w:t>
      </w:r>
      <w:r w:rsidRPr="00C97E4C">
        <w:t xml:space="preserve"> supervisory approach for the cyber resilience of financial services and markets</w:t>
      </w:r>
      <w:r>
        <w:t>.</w:t>
      </w:r>
    </w:p>
    <w:p w14:paraId="66E9D0EB" w14:textId="4277202F" w:rsidR="004C4B0B" w:rsidRPr="00C97E4C" w:rsidRDefault="004C4B0B" w:rsidP="00AC2839">
      <w:pPr>
        <w:pStyle w:val="Bullet"/>
      </w:pPr>
      <w:r w:rsidRPr="00726EDC">
        <w:rPr>
          <w:b/>
        </w:rPr>
        <w:t>Corporate Governance Consultative Panel</w:t>
      </w:r>
      <w:r w:rsidR="00565E62">
        <w:t xml:space="preserve">: </w:t>
      </w:r>
      <w:r>
        <w:t>helps</w:t>
      </w:r>
      <w:r w:rsidRPr="00C91793">
        <w:t xml:space="preserve"> ASIC gain a deeper understanding of developments and emerging issues in </w:t>
      </w:r>
      <w:r w:rsidRPr="00AC2839">
        <w:t>corporate</w:t>
      </w:r>
      <w:r w:rsidRPr="00C91793">
        <w:t xml:space="preserve"> governance practices.</w:t>
      </w:r>
    </w:p>
    <w:p w14:paraId="08BFF639" w14:textId="16438B22" w:rsidR="00E26C84" w:rsidRPr="00A51761" w:rsidRDefault="00E26C84" w:rsidP="00B83CF2">
      <w:pPr>
        <w:pStyle w:val="Heading3"/>
        <w:rPr>
          <w:rFonts w:eastAsiaTheme="minorHAnsi"/>
        </w:rPr>
      </w:pPr>
      <w:bookmarkStart w:id="71" w:name="_Toc108786428"/>
      <w:r w:rsidRPr="00A51761">
        <w:rPr>
          <w:rFonts w:eastAsiaTheme="minorHAnsi"/>
        </w:rPr>
        <w:lastRenderedPageBreak/>
        <w:t>Previous reviews of ASIC</w:t>
      </w:r>
      <w:r w:rsidR="00EF40B0">
        <w:rPr>
          <w:rFonts w:eastAsiaTheme="minorHAnsi"/>
        </w:rPr>
        <w:t>’</w:t>
      </w:r>
      <w:r w:rsidRPr="00A51761">
        <w:rPr>
          <w:rFonts w:eastAsiaTheme="minorHAnsi"/>
        </w:rPr>
        <w:t>s governance and ASIC action</w:t>
      </w:r>
      <w:bookmarkEnd w:id="71"/>
    </w:p>
    <w:p w14:paraId="47559D28" w14:textId="01F28C08" w:rsidR="004C4B0B" w:rsidRDefault="004C4B0B" w:rsidP="001655A9">
      <w:pPr>
        <w:pStyle w:val="FigureMainHeading"/>
      </w:pPr>
      <w:bookmarkStart w:id="72" w:name="Figure_3_2"/>
      <w:r w:rsidRPr="00661EF1">
        <w:t xml:space="preserve">Figure </w:t>
      </w:r>
      <w:r w:rsidRPr="00661EF1">
        <w:rPr>
          <w:iCs/>
        </w:rPr>
        <w:t>3.</w:t>
      </w:r>
      <w:r w:rsidRPr="00661EF1">
        <w:t>2</w:t>
      </w:r>
      <w:bookmarkEnd w:id="72"/>
      <w:r w:rsidRPr="00661EF1">
        <w:t>: Timeline of previous reviews that commented on ASIC</w:t>
      </w:r>
      <w:r w:rsidR="00EF40B0">
        <w:t>’</w:t>
      </w:r>
      <w:r w:rsidRPr="00661EF1">
        <w:t>s governance</w:t>
      </w:r>
      <w:r w:rsidRPr="00661EF1" w:rsidDel="009570D9">
        <w:t xml:space="preserve"> </w:t>
      </w:r>
    </w:p>
    <w:p w14:paraId="3A7AE711" w14:textId="626123B0" w:rsidR="004C4B0B" w:rsidRPr="00672C67" w:rsidRDefault="00BC198F" w:rsidP="001A1CBE">
      <w:pPr>
        <w:pStyle w:val="ChartGraphic"/>
        <w:ind w:left="397"/>
      </w:pPr>
      <w:r>
        <w:rPr>
          <w:noProof/>
        </w:rPr>
        <w:drawing>
          <wp:inline distT="0" distB="0" distL="0" distR="0" wp14:anchorId="3C85F7C8" wp14:editId="75E6C181">
            <wp:extent cx="5730141" cy="7163435"/>
            <wp:effectExtent l="0" t="0" r="4445" b="0"/>
            <wp:docPr id="35" name="Picture 35" descr="Figure 3.2 is a timeline of previous reviews that have commented on ASIC’s governance. The left side of the timeline in blue, shows ‘Previous reviews’ while the right side of the timeline in green, shows ‘Government/ASIC response(s)’ that have changed ASIC’s governance structure. Previous reviews include a 2014 Senate Economics Reference Committee Inquiry; 2014 Financial System Inquiry; 2015 ASIC Capability Review; 2019 Royal Commission into the Misconduct in the Banking, Superannuation and Financial Services Industry; and 2022 Parliamentary Joint Committee. Government/ASIC responses include a 2016 implementation plan; 2019 governance framework and management accountability regime; 2020 introduction of chief risk officer role; and 2021 establishment of FRA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3.2 is a timeline of previous reviews that have commented on ASIC’s governance. The left side of the timeline in blue, shows ‘Previous reviews’ while the right side of the timeline in green, shows ‘Government/ASIC response(s)’ that have changed ASIC’s governance structure. Previous reviews include a 2014 Senate Economics Reference Committee Inquiry; 2014 Financial System Inquiry; 2015 ASIC Capability Review; 2019 Royal Commission into the Misconduct in the Banking, Superannuation and Financial Services Industry; and 2022 Parliamentary Joint Committee. Government/ASIC responses include a 2016 implementation plan; 2019 governance framework and management accountability regime; 2020 introduction of chief risk officer role; and 2021 establishment of FRAA. "/>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730141" cy="7163435"/>
                    </a:xfrm>
                    <a:prstGeom prst="rect">
                      <a:avLst/>
                    </a:prstGeom>
                    <a:noFill/>
                  </pic:spPr>
                </pic:pic>
              </a:graphicData>
            </a:graphic>
          </wp:inline>
        </w:drawing>
      </w:r>
    </w:p>
    <w:p w14:paraId="2A9AA9DE" w14:textId="3BBAC8E3" w:rsidR="001A1CBE" w:rsidRDefault="00902DA1" w:rsidP="00502192">
      <w:pPr>
        <w:spacing w:after="160" w:line="259" w:lineRule="auto"/>
        <w:ind w:left="397"/>
        <w:rPr>
          <w:rFonts w:eastAsia="Calibri" w:cstheme="minorHAnsi"/>
        </w:rPr>
      </w:pPr>
      <w:r w:rsidRPr="00902DA1">
        <w:rPr>
          <w:sz w:val="18"/>
          <w:szCs w:val="16"/>
        </w:rPr>
        <w:t>Source: Treasury, 2022.</w:t>
      </w:r>
      <w:r w:rsidR="001A1CBE">
        <w:rPr>
          <w:rFonts w:eastAsia="Calibri" w:cstheme="minorHAnsi"/>
        </w:rPr>
        <w:br w:type="page"/>
      </w:r>
    </w:p>
    <w:p w14:paraId="0A73764E" w14:textId="18F9A27D" w:rsidR="00E26C84" w:rsidRPr="00E3665B" w:rsidRDefault="00E26C84" w:rsidP="00975036">
      <w:pPr>
        <w:pStyle w:val="numberedtext"/>
        <w:numPr>
          <w:ilvl w:val="0"/>
          <w:numId w:val="19"/>
        </w:numPr>
        <w:ind w:left="573" w:hanging="573"/>
        <w:rPr>
          <w:rFonts w:cstheme="minorHAnsi"/>
        </w:rPr>
      </w:pPr>
      <w:r w:rsidRPr="00E3665B">
        <w:rPr>
          <w:rFonts w:cstheme="minorHAnsi"/>
        </w:rPr>
        <w:lastRenderedPageBreak/>
        <w:t>In 2014, the Senate Economics References Committee sought to assess ASIC</w:t>
      </w:r>
      <w:r w:rsidR="00EF40B0">
        <w:rPr>
          <w:rFonts w:cstheme="minorHAnsi"/>
        </w:rPr>
        <w:t>’</w:t>
      </w:r>
      <w:r w:rsidRPr="00E3665B">
        <w:rPr>
          <w:rFonts w:cstheme="minorHAnsi"/>
        </w:rPr>
        <w:t>s performance with reference to ASIC</w:t>
      </w:r>
      <w:r w:rsidR="00EF40B0">
        <w:rPr>
          <w:rFonts w:cstheme="minorHAnsi"/>
        </w:rPr>
        <w:t>’</w:t>
      </w:r>
      <w:r w:rsidRPr="00E3665B">
        <w:rPr>
          <w:rFonts w:cstheme="minorHAnsi"/>
        </w:rPr>
        <w:t xml:space="preserve">s enabling legislation, accountability framework, collaboration with other regulators and enforcement bodies, complaint management and whistleblower protection. </w:t>
      </w:r>
    </w:p>
    <w:p w14:paraId="0A8E3AD9" w14:textId="43EDC388" w:rsidR="00E26C84" w:rsidRPr="00E3665B" w:rsidRDefault="00E26C84" w:rsidP="00975036">
      <w:pPr>
        <w:pStyle w:val="numberedtext"/>
        <w:numPr>
          <w:ilvl w:val="0"/>
          <w:numId w:val="19"/>
        </w:numPr>
        <w:ind w:left="573" w:hanging="573"/>
      </w:pPr>
      <w:r w:rsidRPr="696FA744">
        <w:t>The Senate Economics References Committee expressed concern about commissioners holding both executive and non</w:t>
      </w:r>
      <w:r w:rsidR="00EF40B0">
        <w:rPr>
          <w:rFonts w:cstheme="minorHAnsi"/>
        </w:rPr>
        <w:noBreakHyphen/>
      </w:r>
      <w:r w:rsidRPr="696FA744">
        <w:t>executive roles, which had resulted in ASIC</w:t>
      </w:r>
      <w:r w:rsidRPr="696FA744" w:rsidDel="00A50D3C">
        <w:t xml:space="preserve"> </w:t>
      </w:r>
      <w:r w:rsidRPr="696FA744">
        <w:t xml:space="preserve">operating in silos as individual commissioners performed executive functions. This review also noted that in this structure commissioners were responsible for assessing their own decisions. </w:t>
      </w:r>
    </w:p>
    <w:p w14:paraId="0D744644" w14:textId="6648C0FB" w:rsidR="00E26C84" w:rsidRPr="00E3665B" w:rsidRDefault="00E26C84" w:rsidP="00975036">
      <w:pPr>
        <w:pStyle w:val="numberedtext"/>
        <w:numPr>
          <w:ilvl w:val="0"/>
          <w:numId w:val="19"/>
        </w:numPr>
        <w:ind w:left="573" w:hanging="573"/>
      </w:pPr>
      <w:r w:rsidRPr="4CBBB306">
        <w:t>The Senate Economics References Committee made recommendations to improve the overall regulatory environment and encourage ASIC to become more self</w:t>
      </w:r>
      <w:r w:rsidR="00EF40B0">
        <w:rPr>
          <w:rFonts w:cstheme="minorHAnsi"/>
        </w:rPr>
        <w:noBreakHyphen/>
      </w:r>
      <w:r w:rsidRPr="4CBBB306">
        <w:t xml:space="preserve">evaluating. </w:t>
      </w:r>
      <w:r w:rsidR="004C4B0B" w:rsidRPr="4CBBB306">
        <w:t>The Senate Economics References Committee further recommended the Government undertake a review of ASIC</w:t>
      </w:r>
      <w:r w:rsidR="00EF40B0">
        <w:t>’</w:t>
      </w:r>
      <w:r w:rsidR="004C4B0B" w:rsidRPr="4CBBB306">
        <w:t>s governance arrangements within 2</w:t>
      </w:r>
      <w:r w:rsidRPr="4CBBB306">
        <w:t xml:space="preserve"> years and revisit the matter of an executive and non</w:t>
      </w:r>
      <w:r w:rsidR="00EF40B0">
        <w:rPr>
          <w:rFonts w:cstheme="minorHAnsi"/>
        </w:rPr>
        <w:noBreakHyphen/>
      </w:r>
      <w:r w:rsidRPr="4CBBB306">
        <w:t>executive member board.</w:t>
      </w:r>
    </w:p>
    <w:p w14:paraId="40B8515B" w14:textId="5D95210E" w:rsidR="00E26C84" w:rsidRPr="00E3665B" w:rsidRDefault="00E26C84" w:rsidP="00975036">
      <w:pPr>
        <w:pStyle w:val="numberedtext"/>
        <w:numPr>
          <w:ilvl w:val="0"/>
          <w:numId w:val="19"/>
        </w:numPr>
        <w:ind w:left="573" w:hanging="573"/>
        <w:rPr>
          <w:rFonts w:cstheme="minorHAnsi"/>
        </w:rPr>
      </w:pPr>
      <w:r w:rsidRPr="00E3665B">
        <w:rPr>
          <w:rFonts w:cstheme="minorHAnsi"/>
        </w:rPr>
        <w:t>The Senate Economics References Committee</w:t>
      </w:r>
      <w:r w:rsidR="00EF40B0">
        <w:rPr>
          <w:rFonts w:cstheme="minorHAnsi"/>
        </w:rPr>
        <w:t>’</w:t>
      </w:r>
      <w:r w:rsidRPr="00E3665B">
        <w:rPr>
          <w:rFonts w:cstheme="minorHAnsi"/>
        </w:rPr>
        <w:t>s report on ASIC</w:t>
      </w:r>
      <w:r w:rsidR="00EF40B0">
        <w:rPr>
          <w:rFonts w:cstheme="minorHAnsi"/>
        </w:rPr>
        <w:t>’</w:t>
      </w:r>
      <w:r w:rsidRPr="00E3665B">
        <w:rPr>
          <w:rFonts w:cstheme="minorHAnsi"/>
        </w:rPr>
        <w:t>s performance was released shortly before publication of the 2014 Financial System Inquiry</w:t>
      </w:r>
      <w:r w:rsidR="00EF40B0">
        <w:rPr>
          <w:rFonts w:cstheme="minorHAnsi"/>
        </w:rPr>
        <w:t>’</w:t>
      </w:r>
      <w:r w:rsidRPr="00E3665B">
        <w:rPr>
          <w:rFonts w:cstheme="minorHAnsi"/>
        </w:rPr>
        <w:t>s Interim Report. The Financial System Inquiry considered the Senate Economics References Committee</w:t>
      </w:r>
      <w:r w:rsidR="00EF40B0">
        <w:rPr>
          <w:rFonts w:cstheme="minorHAnsi"/>
        </w:rPr>
        <w:t>’</w:t>
      </w:r>
      <w:r w:rsidRPr="00E3665B">
        <w:rPr>
          <w:rFonts w:cstheme="minorHAnsi"/>
        </w:rPr>
        <w:t xml:space="preserve">s recommendations in its final deliberations. </w:t>
      </w:r>
    </w:p>
    <w:p w14:paraId="7A15E1CD" w14:textId="5CD2882E" w:rsidR="00E26C84" w:rsidRPr="00E3665B" w:rsidRDefault="00E26C84" w:rsidP="00975036">
      <w:pPr>
        <w:pStyle w:val="numberedtext"/>
        <w:numPr>
          <w:ilvl w:val="0"/>
          <w:numId w:val="19"/>
        </w:numPr>
        <w:ind w:left="573" w:hanging="573"/>
      </w:pPr>
      <w:r w:rsidRPr="3966AEE2">
        <w:t>The Financial Systems Inquiry considered the effectiveness of and need for financial regulation in Australia including the performance of financial regulators. The Financial System Inquiry rejected the proposal that financial regulators, including ASIC, should be placed under the control of a non</w:t>
      </w:r>
      <w:r w:rsidR="00EF40B0">
        <w:rPr>
          <w:rFonts w:cstheme="minorHAnsi"/>
        </w:rPr>
        <w:noBreakHyphen/>
      </w:r>
      <w:r w:rsidRPr="3966AEE2">
        <w:t>executive board, referencing blurred accountability in APRA</w:t>
      </w:r>
      <w:r w:rsidR="00EF40B0">
        <w:t>’</w:t>
      </w:r>
      <w:r w:rsidRPr="3966AEE2">
        <w:t>s governance structure in the lead up to the collapse of HIH Insurance Limited.</w:t>
      </w:r>
      <w:r w:rsidRPr="00B86F70">
        <w:rPr>
          <w:vertAlign w:val="superscript"/>
        </w:rPr>
        <w:footnoteReference w:id="38"/>
      </w:r>
      <w:r w:rsidRPr="3966AEE2">
        <w:t xml:space="preserve"> Instead, the Financial System</w:t>
      </w:r>
      <w:r w:rsidR="009274BA">
        <w:t>s</w:t>
      </w:r>
      <w:r w:rsidRPr="3966AEE2">
        <w:t xml:space="preserve"> Inquiry recommended creati</w:t>
      </w:r>
      <w:r w:rsidR="009274BA">
        <w:t>ng</w:t>
      </w:r>
      <w:r w:rsidRPr="3966AEE2">
        <w:t xml:space="preserve"> an external assessment board to conduct periodic reviews of </w:t>
      </w:r>
      <w:r w:rsidR="009274BA">
        <w:t xml:space="preserve">the </w:t>
      </w:r>
      <w:r w:rsidRPr="3966AEE2">
        <w:t>performance of ASIC, APRA</w:t>
      </w:r>
      <w:r w:rsidR="009274BA">
        <w:t>,</w:t>
      </w:r>
      <w:r w:rsidRPr="3966AEE2">
        <w:t xml:space="preserve"> and the payment systems regulation function of the RBA</w:t>
      </w:r>
      <w:r w:rsidR="009274BA">
        <w:t xml:space="preserve">. The inquiry also recommended </w:t>
      </w:r>
      <w:r w:rsidRPr="3966AEE2">
        <w:t>that financial regulators undertake period</w:t>
      </w:r>
      <w:r w:rsidR="009274BA">
        <w:t>ic</w:t>
      </w:r>
      <w:r w:rsidRPr="3966AEE2">
        <w:t xml:space="preserve"> capability reviews.</w:t>
      </w:r>
      <w:r w:rsidRPr="00B86F70">
        <w:rPr>
          <w:vertAlign w:val="superscript"/>
        </w:rPr>
        <w:footnoteReference w:id="39"/>
      </w:r>
      <w:r w:rsidRPr="006A0F0A">
        <w:t xml:space="preserve"> </w:t>
      </w:r>
    </w:p>
    <w:p w14:paraId="34847C32" w14:textId="66B8FBD6" w:rsidR="00E26C84" w:rsidRPr="00E3665B" w:rsidRDefault="00E26C84" w:rsidP="00975036">
      <w:pPr>
        <w:pStyle w:val="numberedtext"/>
        <w:numPr>
          <w:ilvl w:val="0"/>
          <w:numId w:val="19"/>
        </w:numPr>
        <w:ind w:left="573" w:hanging="573"/>
        <w:rPr>
          <w:rFonts w:cstheme="minorHAnsi"/>
        </w:rPr>
      </w:pPr>
      <w:r w:rsidRPr="00E3665B">
        <w:rPr>
          <w:rFonts w:cstheme="minorHAnsi"/>
        </w:rPr>
        <w:t xml:space="preserve">The 2015 </w:t>
      </w:r>
      <w:r w:rsidR="00E3245D">
        <w:rPr>
          <w:rFonts w:cstheme="minorHAnsi"/>
        </w:rPr>
        <w:t xml:space="preserve">ASIC </w:t>
      </w:r>
      <w:r w:rsidRPr="00E3665B">
        <w:rPr>
          <w:rFonts w:cstheme="minorHAnsi"/>
        </w:rPr>
        <w:t>Capability Review was established in response to the Financial System Inquiry recommendation and considered ASIC</w:t>
      </w:r>
      <w:r w:rsidR="00EF40B0">
        <w:rPr>
          <w:rFonts w:cstheme="minorHAnsi"/>
        </w:rPr>
        <w:t>’</w:t>
      </w:r>
      <w:r w:rsidRPr="00E3665B">
        <w:rPr>
          <w:rFonts w:cstheme="minorHAnsi"/>
        </w:rPr>
        <w:t>s governance and leadership, strategy management and delivery.</w:t>
      </w:r>
      <w:r w:rsidR="00CB6C54">
        <w:rPr>
          <w:rStyle w:val="FootnoteReference"/>
          <w:rFonts w:cstheme="minorHAnsi"/>
        </w:rPr>
        <w:footnoteReference w:id="40"/>
      </w:r>
      <w:r w:rsidRPr="00E3665B">
        <w:rPr>
          <w:rFonts w:cstheme="minorHAnsi"/>
        </w:rPr>
        <w:t xml:space="preserve"> The Capability Review considered that ASIC</w:t>
      </w:r>
      <w:r w:rsidR="00EF40B0">
        <w:rPr>
          <w:rFonts w:cstheme="minorHAnsi"/>
        </w:rPr>
        <w:t>’</w:t>
      </w:r>
      <w:r w:rsidRPr="00E3665B">
        <w:rPr>
          <w:rFonts w:cstheme="minorHAnsi"/>
        </w:rPr>
        <w:t>s governance structure left insufficient bandwidth for the commissioners to focus on strategic matters, external engagement, internal oversight and accountability. This view was based on:</w:t>
      </w:r>
    </w:p>
    <w:p w14:paraId="599D546B" w14:textId="6AF253E7" w:rsidR="00E26C84" w:rsidRPr="00E3665B" w:rsidRDefault="002A3FC5" w:rsidP="00AC2839">
      <w:pPr>
        <w:pStyle w:val="Bullet"/>
      </w:pPr>
      <w:r>
        <w:t>p</w:t>
      </w:r>
      <w:r w:rsidR="00E26C84" w:rsidRPr="00E3665B">
        <w:t>anel discussions with ASIC commissioners and staff</w:t>
      </w:r>
      <w:r w:rsidR="00FA3E51">
        <w:t xml:space="preserve"> members</w:t>
      </w:r>
      <w:r w:rsidR="00E26C84" w:rsidRPr="00E3665B">
        <w:t>, a review of meeting minutes</w:t>
      </w:r>
      <w:r w:rsidR="00FA3E51">
        <w:t>,</w:t>
      </w:r>
      <w:r w:rsidR="00E26C84" w:rsidRPr="00E3665B">
        <w:t xml:space="preserve"> and attendance at </w:t>
      </w:r>
      <w:r w:rsidR="00E26C84" w:rsidRPr="00AC2839">
        <w:t>committee</w:t>
      </w:r>
      <w:r w:rsidR="00E26C84" w:rsidRPr="00E3665B">
        <w:t xml:space="preserve"> and Commission meetings</w:t>
      </w:r>
    </w:p>
    <w:p w14:paraId="03BC66F0" w14:textId="6DDE7BE0" w:rsidR="00E26C84" w:rsidRPr="00E3665B" w:rsidRDefault="002A3FC5" w:rsidP="00CA0269">
      <w:pPr>
        <w:pStyle w:val="Bullet"/>
        <w:tabs>
          <w:tab w:val="clear" w:pos="851"/>
          <w:tab w:val="num" w:pos="850"/>
          <w:tab w:val="num" w:pos="1229"/>
        </w:tabs>
      </w:pPr>
      <w:r>
        <w:t>a</w:t>
      </w:r>
      <w:r w:rsidR="00E26C84" w:rsidRPr="00E3665B">
        <w:t xml:space="preserve"> comparison of internal governance models applied by regulators in Australia and overseas</w:t>
      </w:r>
    </w:p>
    <w:p w14:paraId="6DC5C566" w14:textId="08430DC7" w:rsidR="00E26C84" w:rsidRPr="00E3665B" w:rsidRDefault="002A3FC5" w:rsidP="00AC2839">
      <w:pPr>
        <w:pStyle w:val="Bullet"/>
      </w:pPr>
      <w:r>
        <w:t>e</w:t>
      </w:r>
      <w:r w:rsidR="00E26C84" w:rsidRPr="00E3665B">
        <w:t xml:space="preserve">vidence </w:t>
      </w:r>
      <w:r w:rsidR="004C4B0B" w:rsidRPr="00E3665B">
        <w:t xml:space="preserve">that </w:t>
      </w:r>
      <w:r w:rsidR="00E26C84" w:rsidRPr="00E3665B">
        <w:t xml:space="preserve">commissioners spent insufficient time engaging with the market, </w:t>
      </w:r>
      <w:r w:rsidR="004C4B0B" w:rsidRPr="00E3665B">
        <w:t>estimating</w:t>
      </w:r>
      <w:r w:rsidR="00E26C84" w:rsidRPr="00E3665B">
        <w:t xml:space="preserve"> that on average 26% of their time was spent on meetings and engagement activities with external stakeholders (materially less than that of other domestic regulators)</w:t>
      </w:r>
    </w:p>
    <w:p w14:paraId="5732CD71" w14:textId="474699F5" w:rsidR="00E26C84" w:rsidRDefault="003201C2" w:rsidP="00AC2839">
      <w:pPr>
        <w:pStyle w:val="Bullet"/>
      </w:pPr>
      <w:r>
        <w:lastRenderedPageBreak/>
        <w:t>e</w:t>
      </w:r>
      <w:r w:rsidR="00E26C84" w:rsidRPr="00EB796D">
        <w:t>vidence</w:t>
      </w:r>
      <w:r w:rsidR="00E26C84">
        <w:t xml:space="preserve"> collected by consultan</w:t>
      </w:r>
      <w:r w:rsidR="007165FF">
        <w:t>cy</w:t>
      </w:r>
      <w:r w:rsidR="00E26C84">
        <w:t xml:space="preserve"> </w:t>
      </w:r>
      <w:r w:rsidR="00E26C84" w:rsidRPr="00AC2839">
        <w:t>PwC</w:t>
      </w:r>
      <w:r w:rsidR="00E26C84">
        <w:t xml:space="preserve"> </w:t>
      </w:r>
      <w:r w:rsidR="00E26C84" w:rsidRPr="00E54986">
        <w:t>indicating that 58</w:t>
      </w:r>
      <w:r w:rsidR="00EF40B0">
        <w:noBreakHyphen/>
      </w:r>
      <w:r w:rsidR="00E26C84" w:rsidRPr="00E54986">
        <w:t>77</w:t>
      </w:r>
      <w:r w:rsidR="00E26C84">
        <w:t>%</w:t>
      </w:r>
      <w:r w:rsidR="00E26C84" w:rsidRPr="00E54986">
        <w:t xml:space="preserve"> of </w:t>
      </w:r>
      <w:r w:rsidR="00E26C84">
        <w:t>c</w:t>
      </w:r>
      <w:r w:rsidR="00E26C84" w:rsidRPr="00E54986">
        <w:t xml:space="preserve">ommissioner time </w:t>
      </w:r>
      <w:r w:rsidR="00E26C84">
        <w:t>wa</w:t>
      </w:r>
      <w:r w:rsidR="00E26C84" w:rsidRPr="00E54986">
        <w:t>s spent on operational and administrative matters (executive role), leaving only 23</w:t>
      </w:r>
      <w:r w:rsidR="00EF40B0">
        <w:noBreakHyphen/>
      </w:r>
      <w:r w:rsidR="00E26C84" w:rsidRPr="00E54986">
        <w:t>42</w:t>
      </w:r>
      <w:r w:rsidR="00E26C84">
        <w:t>%</w:t>
      </w:r>
      <w:r w:rsidR="00E26C84" w:rsidRPr="00E54986">
        <w:t xml:space="preserve"> for strategic initiatives and external engagement (</w:t>
      </w:r>
      <w:r w:rsidR="00E26C84">
        <w:t>non</w:t>
      </w:r>
      <w:r w:rsidR="00EF40B0">
        <w:noBreakHyphen/>
      </w:r>
      <w:r w:rsidR="00E26C84">
        <w:t>executive</w:t>
      </w:r>
      <w:r w:rsidR="00E26C84" w:rsidRPr="00E54986">
        <w:t xml:space="preserve"> role)</w:t>
      </w:r>
      <w:r w:rsidR="00E26C84">
        <w:t>.</w:t>
      </w:r>
      <w:r w:rsidR="00E26C84">
        <w:rPr>
          <w:rStyle w:val="FootnoteReference"/>
        </w:rPr>
        <w:footnoteReference w:id="41"/>
      </w:r>
    </w:p>
    <w:p w14:paraId="53005DC3" w14:textId="7BC92E75" w:rsidR="00E26C84" w:rsidRPr="006A0F0A" w:rsidRDefault="00E26C84" w:rsidP="00975036">
      <w:pPr>
        <w:pStyle w:val="numberedtext"/>
        <w:numPr>
          <w:ilvl w:val="0"/>
          <w:numId w:val="19"/>
        </w:numPr>
        <w:ind w:left="573" w:hanging="573"/>
      </w:pPr>
      <w:r w:rsidRPr="006A0F0A">
        <w:t xml:space="preserve">The </w:t>
      </w:r>
      <w:r w:rsidR="002E570A">
        <w:t xml:space="preserve">2015 ASIC </w:t>
      </w:r>
      <w:r w:rsidRPr="006A0F0A">
        <w:t>Capability Review recommended:</w:t>
      </w:r>
    </w:p>
    <w:p w14:paraId="5019E964" w14:textId="787E2336" w:rsidR="00E26C84" w:rsidRPr="00B514AA" w:rsidRDefault="00E26C84" w:rsidP="00AC2839">
      <w:pPr>
        <w:pStyle w:val="Bullet"/>
      </w:pPr>
      <w:r w:rsidRPr="00B514AA">
        <w:t xml:space="preserve">ASIC realign governance arrangements </w:t>
      </w:r>
      <w:r w:rsidRPr="00AC2839">
        <w:t>by</w:t>
      </w:r>
      <w:r w:rsidRPr="00B514AA">
        <w:t xml:space="preserve"> elevating the Commission role to that of a full</w:t>
      </w:r>
      <w:r w:rsidR="00EF40B0">
        <w:noBreakHyphen/>
      </w:r>
      <w:r w:rsidRPr="00B514AA">
        <w:t>time non</w:t>
      </w:r>
      <w:r w:rsidR="00EF40B0">
        <w:noBreakHyphen/>
      </w:r>
      <w:r w:rsidRPr="00B514AA">
        <w:t>executive function (not an external board), with a commensurate strategic focus and external accountability free from executive line management responsibilities</w:t>
      </w:r>
      <w:r>
        <w:t>.</w:t>
      </w:r>
    </w:p>
    <w:p w14:paraId="0D1B7C38" w14:textId="4B4CFF39" w:rsidR="00E26C84" w:rsidRPr="00C01970" w:rsidRDefault="00E26C84" w:rsidP="00AC2839">
      <w:pPr>
        <w:pStyle w:val="Bullet"/>
      </w:pPr>
      <w:r w:rsidRPr="00B514AA">
        <w:t xml:space="preserve">ASIC establish a new role of </w:t>
      </w:r>
      <w:r>
        <w:t>h</w:t>
      </w:r>
      <w:r w:rsidRPr="00B514AA">
        <w:t xml:space="preserve">ead of </w:t>
      </w:r>
      <w:r w:rsidRPr="00AC2839">
        <w:t>office</w:t>
      </w:r>
      <w:r w:rsidRPr="00B514AA">
        <w:t>, with delegated responsibility and accountability for executive line management functions</w:t>
      </w:r>
      <w:r w:rsidR="000D21B0" w:rsidRPr="000D21B0">
        <w:t xml:space="preserve">. </w:t>
      </w:r>
      <w:r w:rsidR="004C4B0B" w:rsidRPr="00C01970">
        <w:t xml:space="preserve">ASIC established the </w:t>
      </w:r>
      <w:r w:rsidR="00C777D9">
        <w:t>H</w:t>
      </w:r>
      <w:r w:rsidR="004C4B0B">
        <w:t xml:space="preserve">ead of </w:t>
      </w:r>
      <w:r w:rsidR="00C777D9">
        <w:t>O</w:t>
      </w:r>
      <w:r w:rsidR="004C4B0B">
        <w:t>ffice</w:t>
      </w:r>
      <w:r w:rsidR="004C4B0B" w:rsidRPr="00C01970">
        <w:t xml:space="preserve"> role in 2019</w:t>
      </w:r>
      <w:r w:rsidR="003F6CCC">
        <w:t>,</w:t>
      </w:r>
      <w:r w:rsidR="004C4B0B" w:rsidRPr="00C01970">
        <w:t xml:space="preserve"> which subsequently became the </w:t>
      </w:r>
      <w:r w:rsidR="0094257D">
        <w:t>C</w:t>
      </w:r>
      <w:r w:rsidR="004C4B0B">
        <w:t xml:space="preserve">hief </w:t>
      </w:r>
      <w:r w:rsidR="0094257D">
        <w:t>O</w:t>
      </w:r>
      <w:r w:rsidR="004C4B0B">
        <w:t xml:space="preserve">perating </w:t>
      </w:r>
      <w:r w:rsidR="0094257D">
        <w:t>O</w:t>
      </w:r>
      <w:r w:rsidR="004C4B0B">
        <w:t>ffice</w:t>
      </w:r>
      <w:r w:rsidR="0094257D">
        <w:t>r</w:t>
      </w:r>
      <w:r w:rsidR="000D21B0" w:rsidRPr="00C01970">
        <w:t xml:space="preserve"> role in 2021</w:t>
      </w:r>
      <w:r w:rsidR="000D21B0">
        <w:t>.</w:t>
      </w:r>
    </w:p>
    <w:p w14:paraId="7279307B" w14:textId="0946E8B0" w:rsidR="004C4B0B" w:rsidRPr="00C01970" w:rsidRDefault="004C4B0B" w:rsidP="00AC2839">
      <w:pPr>
        <w:pStyle w:val="Bullet"/>
      </w:pPr>
      <w:r w:rsidRPr="00C01970">
        <w:t xml:space="preserve">Senior </w:t>
      </w:r>
      <w:r>
        <w:t>e</w:t>
      </w:r>
      <w:r w:rsidRPr="00C01970">
        <w:t xml:space="preserve">xecutive </w:t>
      </w:r>
      <w:r>
        <w:t>l</w:t>
      </w:r>
      <w:r w:rsidRPr="00C01970">
        <w:t xml:space="preserve">eaders be delegated </w:t>
      </w:r>
      <w:r w:rsidRPr="00AC2839">
        <w:t>executive</w:t>
      </w:r>
      <w:r w:rsidRPr="00C01970">
        <w:t xml:space="preserve"> line management </w:t>
      </w:r>
      <w:r>
        <w:t>responsibilities</w:t>
      </w:r>
      <w:r w:rsidRPr="00C01970">
        <w:t xml:space="preserve">, reporting to the </w:t>
      </w:r>
      <w:r>
        <w:t>head of office. A</w:t>
      </w:r>
      <w:r w:rsidRPr="00C01970">
        <w:t>SIC introduced the executive director layer in 2019</w:t>
      </w:r>
      <w:r w:rsidR="007152ED">
        <w:t xml:space="preserve">, which </w:t>
      </w:r>
      <w:r w:rsidRPr="00C01970">
        <w:t xml:space="preserve">now reports to the </w:t>
      </w:r>
      <w:r w:rsidR="009274BA">
        <w:t>Chief Operating Officer</w:t>
      </w:r>
      <w:r>
        <w:t>.</w:t>
      </w:r>
    </w:p>
    <w:p w14:paraId="2E45CB1B" w14:textId="25B13779" w:rsidR="00E26C84" w:rsidRPr="00A6709E" w:rsidRDefault="00E26C84" w:rsidP="00975036">
      <w:pPr>
        <w:pStyle w:val="numberedtext"/>
        <w:numPr>
          <w:ilvl w:val="0"/>
          <w:numId w:val="19"/>
        </w:numPr>
        <w:ind w:left="573" w:hanging="573"/>
        <w:rPr>
          <w:rFonts w:cstheme="minorHAnsi"/>
        </w:rPr>
      </w:pPr>
      <w:r w:rsidRPr="00A6709E">
        <w:rPr>
          <w:rFonts w:cstheme="minorHAnsi"/>
        </w:rPr>
        <w:t xml:space="preserve">Part of the Royal </w:t>
      </w:r>
      <w:r w:rsidR="004C4B0B" w:rsidRPr="00A6709E">
        <w:rPr>
          <w:rFonts w:cstheme="minorHAnsi"/>
        </w:rPr>
        <w:t>Commission</w:t>
      </w:r>
      <w:r w:rsidR="00EF40B0">
        <w:rPr>
          <w:rFonts w:cstheme="minorHAnsi"/>
        </w:rPr>
        <w:t>’</w:t>
      </w:r>
      <w:r w:rsidR="0094257D">
        <w:rPr>
          <w:rFonts w:cstheme="minorHAnsi"/>
        </w:rPr>
        <w:t xml:space="preserve">s </w:t>
      </w:r>
      <w:r w:rsidRPr="00A6709E">
        <w:rPr>
          <w:rFonts w:cstheme="minorHAnsi"/>
        </w:rPr>
        <w:t>terms of reference</w:t>
      </w:r>
      <w:r w:rsidR="00C23DA8">
        <w:rPr>
          <w:rFonts w:cstheme="minorHAnsi"/>
        </w:rPr>
        <w:t xml:space="preserve"> included the requirement</w:t>
      </w:r>
      <w:r w:rsidRPr="00A6709E">
        <w:rPr>
          <w:rFonts w:cstheme="minorHAnsi"/>
        </w:rPr>
        <w:t xml:space="preserve"> to report on the effectiveness and ability of financial regulators to identify and address misconduct. The Royal Commission further considered the matter of an independent non</w:t>
      </w:r>
      <w:r w:rsidR="00EF40B0">
        <w:rPr>
          <w:rFonts w:cstheme="minorHAnsi"/>
        </w:rPr>
        <w:noBreakHyphen/>
      </w:r>
      <w:r w:rsidRPr="00A6709E">
        <w:rPr>
          <w:rFonts w:cstheme="minorHAnsi"/>
        </w:rPr>
        <w:t xml:space="preserve">executive director board structure for ASIC, concluding that ASIC and APRA should instead be subject to additional external review and accountability. The Royal Commission recommended quadrennial capability reviews and a new, independent oversight authority for ASIC and APRA. The FRAA was established in 2021 in response to these recommendations. </w:t>
      </w:r>
    </w:p>
    <w:p w14:paraId="468D9E5B" w14:textId="6617538E" w:rsidR="00E26C84" w:rsidRPr="00A6709E" w:rsidRDefault="00E26C84" w:rsidP="00975036">
      <w:pPr>
        <w:pStyle w:val="numberedtext"/>
        <w:numPr>
          <w:ilvl w:val="0"/>
          <w:numId w:val="19"/>
        </w:numPr>
        <w:ind w:left="573" w:hanging="573"/>
        <w:rPr>
          <w:rFonts w:cstheme="minorHAnsi"/>
        </w:rPr>
      </w:pPr>
      <w:r w:rsidRPr="00A6709E">
        <w:rPr>
          <w:rFonts w:cstheme="minorHAnsi"/>
        </w:rPr>
        <w:t>In response to a Royal Commission recommendation</w:t>
      </w:r>
      <w:r w:rsidR="000873DE">
        <w:rPr>
          <w:rFonts w:cstheme="minorHAnsi"/>
        </w:rPr>
        <w:t>,</w:t>
      </w:r>
      <w:r w:rsidRPr="00A6709E">
        <w:rPr>
          <w:rFonts w:cstheme="minorHAnsi"/>
        </w:rPr>
        <w:t xml:space="preserve"> ASIC introduced a management accountability regime to support accountability in its executive layers. </w:t>
      </w:r>
      <w:r w:rsidR="004C4B0B" w:rsidRPr="00A6709E">
        <w:rPr>
          <w:rFonts w:cstheme="minorHAnsi"/>
        </w:rPr>
        <w:t>This regime applies to ASIC</w:t>
      </w:r>
      <w:r w:rsidR="00EF40B0">
        <w:rPr>
          <w:rFonts w:cstheme="minorHAnsi"/>
        </w:rPr>
        <w:t>’</w:t>
      </w:r>
      <w:r w:rsidR="004C4B0B" w:rsidRPr="00A6709E">
        <w:rPr>
          <w:rFonts w:cstheme="minorHAnsi"/>
        </w:rPr>
        <w:t>s senior executives who are responsible for the management of ASIC or a significant part of the operations of ASIC. The accountability statements outline role accountability for particular aspects of ASIC</w:t>
      </w:r>
      <w:r w:rsidR="00EF40B0">
        <w:rPr>
          <w:rFonts w:cstheme="minorHAnsi"/>
        </w:rPr>
        <w:t>’</w:t>
      </w:r>
      <w:r w:rsidR="004C4B0B" w:rsidRPr="00A6709E">
        <w:rPr>
          <w:rFonts w:cstheme="minorHAnsi"/>
        </w:rPr>
        <w:t>s operations, who each accountable person is accountable to</w:t>
      </w:r>
      <w:r w:rsidR="00735388">
        <w:rPr>
          <w:rFonts w:cstheme="minorHAnsi"/>
        </w:rPr>
        <w:t>,</w:t>
      </w:r>
      <w:r w:rsidR="004C4B0B" w:rsidRPr="00A6709E">
        <w:rPr>
          <w:rFonts w:cstheme="minorHAnsi"/>
        </w:rPr>
        <w:t xml:space="preserve"> and how an individual meets</w:t>
      </w:r>
      <w:r w:rsidRPr="00A6709E">
        <w:rPr>
          <w:rFonts w:cstheme="minorHAnsi"/>
        </w:rPr>
        <w:t xml:space="preserve"> their obligations.</w:t>
      </w:r>
    </w:p>
    <w:p w14:paraId="4200D0D7" w14:textId="78D3DD06" w:rsidR="00E26C84" w:rsidRPr="00A6709E" w:rsidRDefault="00E26C84" w:rsidP="00975036">
      <w:pPr>
        <w:pStyle w:val="numberedtext"/>
        <w:numPr>
          <w:ilvl w:val="0"/>
          <w:numId w:val="19"/>
        </w:numPr>
        <w:ind w:left="573" w:hanging="573"/>
        <w:rPr>
          <w:rFonts w:cstheme="minorHAnsi"/>
        </w:rPr>
      </w:pPr>
      <w:r w:rsidRPr="00A6709E">
        <w:rPr>
          <w:rFonts w:cstheme="minorHAnsi"/>
        </w:rPr>
        <w:t>The 2022 Parliamentary Joint Committee considered ASIC</w:t>
      </w:r>
      <w:r w:rsidR="00EF40B0">
        <w:rPr>
          <w:rFonts w:cstheme="minorHAnsi"/>
        </w:rPr>
        <w:t>’</w:t>
      </w:r>
      <w:r w:rsidRPr="00A6709E">
        <w:rPr>
          <w:rFonts w:cstheme="minorHAnsi"/>
        </w:rPr>
        <w:t xml:space="preserve">s governance structure following the findings of the Australian National Audit Office relating to payments made on behalf of ASIC commissioners and recent changes ASIC had made to its governance arrangements. The Parliamentary Joint Committee </w:t>
      </w:r>
      <w:r w:rsidR="007152ED" w:rsidRPr="00A6709E">
        <w:rPr>
          <w:rFonts w:cstheme="minorHAnsi"/>
        </w:rPr>
        <w:t>considered</w:t>
      </w:r>
      <w:r w:rsidRPr="00A6709E">
        <w:rPr>
          <w:rFonts w:cstheme="minorHAnsi"/>
        </w:rPr>
        <w:t xml:space="preserve"> previous reviews of corporate governance for public sector statutory authorities, reviews of ASIC</w:t>
      </w:r>
      <w:r w:rsidR="00EF40B0">
        <w:rPr>
          <w:rFonts w:cstheme="minorHAnsi"/>
        </w:rPr>
        <w:t>’</w:t>
      </w:r>
      <w:r w:rsidRPr="00A6709E">
        <w:rPr>
          <w:rFonts w:cstheme="minorHAnsi"/>
        </w:rPr>
        <w:t>s performance and governance, views of independent experts, and ASIC</w:t>
      </w:r>
      <w:r w:rsidR="00EF40B0">
        <w:rPr>
          <w:rFonts w:cstheme="minorHAnsi"/>
        </w:rPr>
        <w:t>’</w:t>
      </w:r>
      <w:r w:rsidRPr="00A6709E">
        <w:rPr>
          <w:rFonts w:cstheme="minorHAnsi"/>
        </w:rPr>
        <w:t xml:space="preserve">s governance arrangements at the time. </w:t>
      </w:r>
    </w:p>
    <w:p w14:paraId="4D87A7F1" w14:textId="306DF9EE" w:rsidR="00931B94" w:rsidRDefault="004C4B0B" w:rsidP="00975036">
      <w:pPr>
        <w:pStyle w:val="numberedtext"/>
        <w:numPr>
          <w:ilvl w:val="0"/>
          <w:numId w:val="19"/>
        </w:numPr>
        <w:ind w:left="573" w:hanging="573"/>
        <w:rPr>
          <w:rFonts w:cstheme="minorHAnsi"/>
        </w:rPr>
      </w:pPr>
      <w:r w:rsidRPr="00A6709E">
        <w:rPr>
          <w:rFonts w:cstheme="minorHAnsi"/>
        </w:rPr>
        <w:t>The Parliamentary Joint Committee concluded that despite there being no perfect governance model for a statutory authority, ASIC</w:t>
      </w:r>
      <w:r w:rsidR="00EF40B0">
        <w:rPr>
          <w:rFonts w:cstheme="minorHAnsi"/>
        </w:rPr>
        <w:t>’</w:t>
      </w:r>
      <w:r w:rsidRPr="00A6709E">
        <w:rPr>
          <w:rFonts w:cstheme="minorHAnsi"/>
        </w:rPr>
        <w:t>s governance framework appeared appropriate and fit</w:t>
      </w:r>
      <w:r w:rsidR="00EF40B0">
        <w:rPr>
          <w:rFonts w:cstheme="minorHAnsi"/>
        </w:rPr>
        <w:noBreakHyphen/>
      </w:r>
      <w:r w:rsidRPr="00A6709E">
        <w:rPr>
          <w:rFonts w:cstheme="minorHAnsi"/>
        </w:rPr>
        <w:t>for</w:t>
      </w:r>
      <w:r w:rsidR="00EF40B0">
        <w:rPr>
          <w:rFonts w:cstheme="minorHAnsi"/>
        </w:rPr>
        <w:noBreakHyphen/>
      </w:r>
      <w:r w:rsidRPr="00A6709E">
        <w:rPr>
          <w:rFonts w:cstheme="minorHAnsi"/>
        </w:rPr>
        <w:t>purpose. Further, the Parliamentary Joint Committee rejected the suggestion that ASIC install an independent non</w:t>
      </w:r>
      <w:r w:rsidR="00EF40B0">
        <w:rPr>
          <w:rFonts w:cstheme="minorHAnsi"/>
        </w:rPr>
        <w:noBreakHyphen/>
      </w:r>
      <w:r w:rsidRPr="00A6709E">
        <w:rPr>
          <w:rFonts w:cstheme="minorHAnsi"/>
        </w:rPr>
        <w:t xml:space="preserve">executive board and noted that the issue should not be revisited in </w:t>
      </w:r>
      <w:r w:rsidR="008144D1">
        <w:rPr>
          <w:rFonts w:cstheme="minorHAnsi"/>
        </w:rPr>
        <w:t xml:space="preserve">the </w:t>
      </w:r>
      <w:r w:rsidRPr="00A6709E">
        <w:rPr>
          <w:rFonts w:cstheme="minorHAnsi"/>
        </w:rPr>
        <w:t>future.</w:t>
      </w:r>
    </w:p>
    <w:p w14:paraId="0619F58F" w14:textId="77777777" w:rsidR="00931B94" w:rsidRDefault="00931B94">
      <w:pPr>
        <w:spacing w:before="0" w:after="160" w:line="259" w:lineRule="auto"/>
        <w:rPr>
          <w:rFonts w:asciiTheme="minorHAnsi" w:eastAsiaTheme="minorHAnsi" w:hAnsiTheme="minorHAnsi" w:cstheme="minorHAnsi"/>
          <w:szCs w:val="22"/>
          <w:lang w:eastAsia="en-US"/>
        </w:rPr>
      </w:pPr>
      <w:r>
        <w:rPr>
          <w:rFonts w:cstheme="minorHAnsi"/>
        </w:rPr>
        <w:br w:type="page"/>
      </w:r>
    </w:p>
    <w:p w14:paraId="475AD1CF" w14:textId="01E5009F" w:rsidR="00E26C84" w:rsidRPr="009E408F" w:rsidRDefault="00E26C84" w:rsidP="00B83CF2">
      <w:pPr>
        <w:pStyle w:val="Heading3"/>
        <w:rPr>
          <w:rFonts w:eastAsiaTheme="minorHAnsi"/>
        </w:rPr>
      </w:pPr>
      <w:bookmarkStart w:id="73" w:name="_Toc108786429"/>
      <w:r w:rsidRPr="009E408F">
        <w:rPr>
          <w:rFonts w:eastAsiaTheme="minorHAnsi"/>
        </w:rPr>
        <w:lastRenderedPageBreak/>
        <w:t>Feedback on ASIC</w:t>
      </w:r>
      <w:r w:rsidR="00EF40B0">
        <w:rPr>
          <w:rFonts w:eastAsiaTheme="minorHAnsi"/>
        </w:rPr>
        <w:t>’</w:t>
      </w:r>
      <w:r w:rsidRPr="009E408F">
        <w:rPr>
          <w:rFonts w:eastAsiaTheme="minorHAnsi"/>
        </w:rPr>
        <w:t>s governance</w:t>
      </w:r>
      <w:bookmarkEnd w:id="73"/>
    </w:p>
    <w:p w14:paraId="24406F5E" w14:textId="040B415C" w:rsidR="00720141" w:rsidRPr="009E408F" w:rsidRDefault="00E26C84" w:rsidP="00720141">
      <w:pPr>
        <w:pStyle w:val="numberedtext"/>
        <w:numPr>
          <w:ilvl w:val="0"/>
          <w:numId w:val="19"/>
        </w:numPr>
        <w:ind w:left="573" w:hanging="573"/>
        <w:rPr>
          <w:rFonts w:cstheme="minorHAnsi"/>
        </w:rPr>
      </w:pPr>
      <w:r w:rsidRPr="009E408F">
        <w:rPr>
          <w:rFonts w:cstheme="minorHAnsi"/>
        </w:rPr>
        <w:t>ASIC</w:t>
      </w:r>
      <w:r w:rsidR="00EF40B0">
        <w:rPr>
          <w:rFonts w:cstheme="minorHAnsi"/>
        </w:rPr>
        <w:t>’</w:t>
      </w:r>
      <w:r w:rsidRPr="009E408F">
        <w:rPr>
          <w:rFonts w:cstheme="minorHAnsi"/>
        </w:rPr>
        <w:t xml:space="preserve">s governance framework was not </w:t>
      </w:r>
      <w:r w:rsidR="00AB7775">
        <w:rPr>
          <w:rFonts w:cstheme="minorHAnsi"/>
        </w:rPr>
        <w:t xml:space="preserve">an </w:t>
      </w:r>
      <w:r w:rsidRPr="009E408F">
        <w:rPr>
          <w:rFonts w:cstheme="minorHAnsi"/>
        </w:rPr>
        <w:t xml:space="preserve">area of focus. </w:t>
      </w:r>
      <w:r w:rsidR="006745A4">
        <w:rPr>
          <w:rFonts w:cstheme="minorHAnsi"/>
        </w:rPr>
        <w:t xml:space="preserve">However, </w:t>
      </w:r>
      <w:r w:rsidR="00720141">
        <w:rPr>
          <w:rFonts w:cstheme="minorHAnsi"/>
        </w:rPr>
        <w:t>ASIC staff provided feedback on the effect of governance changes on decision</w:t>
      </w:r>
      <w:r w:rsidR="00EF40B0">
        <w:rPr>
          <w:rFonts w:cstheme="minorHAnsi"/>
        </w:rPr>
        <w:noBreakHyphen/>
      </w:r>
      <w:r w:rsidR="00720141">
        <w:rPr>
          <w:rFonts w:cstheme="minorHAnsi"/>
        </w:rPr>
        <w:t xml:space="preserve">making. This is contained in the </w:t>
      </w:r>
      <w:r w:rsidR="00EF40B0">
        <w:rPr>
          <w:rFonts w:cstheme="minorHAnsi"/>
        </w:rPr>
        <w:t>‘</w:t>
      </w:r>
      <w:r w:rsidR="00720141" w:rsidRPr="009E408F">
        <w:rPr>
          <w:rFonts w:cstheme="minorHAnsi"/>
        </w:rPr>
        <w:t>Effectiveness and capability of ASIC</w:t>
      </w:r>
      <w:r w:rsidR="00EF40B0">
        <w:rPr>
          <w:rFonts w:cstheme="minorHAnsi"/>
        </w:rPr>
        <w:t>’</w:t>
      </w:r>
      <w:r w:rsidR="00720141" w:rsidRPr="009E408F">
        <w:rPr>
          <w:rFonts w:cstheme="minorHAnsi"/>
        </w:rPr>
        <w:t>s strategic prioritisation, planning and decision</w:t>
      </w:r>
      <w:r w:rsidR="00EF40B0">
        <w:rPr>
          <w:rFonts w:cstheme="minorHAnsi"/>
        </w:rPr>
        <w:noBreakHyphen/>
      </w:r>
      <w:r w:rsidR="00720141" w:rsidRPr="009E408F">
        <w:rPr>
          <w:rFonts w:cstheme="minorHAnsi"/>
        </w:rPr>
        <w:t>making</w:t>
      </w:r>
      <w:r w:rsidR="00EF40B0">
        <w:rPr>
          <w:rFonts w:cstheme="minorHAnsi"/>
        </w:rPr>
        <w:t>’</w:t>
      </w:r>
      <w:r w:rsidR="00720141" w:rsidRPr="009E408F">
        <w:rPr>
          <w:rFonts w:cstheme="minorHAnsi"/>
        </w:rPr>
        <w:t xml:space="preserve"> section of this chapter. </w:t>
      </w:r>
    </w:p>
    <w:p w14:paraId="00AD568C" w14:textId="6EDB27AF" w:rsidR="00E26C84" w:rsidRPr="009E408F" w:rsidRDefault="00E26C84" w:rsidP="00975036">
      <w:pPr>
        <w:pStyle w:val="numberedtext"/>
        <w:numPr>
          <w:ilvl w:val="0"/>
          <w:numId w:val="19"/>
        </w:numPr>
        <w:ind w:left="573" w:hanging="573"/>
        <w:rPr>
          <w:rFonts w:cstheme="minorHAnsi"/>
        </w:rPr>
      </w:pPr>
      <w:r w:rsidRPr="009E408F">
        <w:rPr>
          <w:rFonts w:cstheme="minorHAnsi"/>
        </w:rPr>
        <w:t>ASIC</w:t>
      </w:r>
      <w:r w:rsidR="00EF40B0">
        <w:rPr>
          <w:rFonts w:cstheme="minorHAnsi"/>
        </w:rPr>
        <w:t>’</w:t>
      </w:r>
      <w:r w:rsidRPr="009E408F">
        <w:rPr>
          <w:rFonts w:cstheme="minorHAnsi"/>
        </w:rPr>
        <w:t xml:space="preserve">s staff and stakeholders </w:t>
      </w:r>
      <w:r w:rsidR="007B6322">
        <w:rPr>
          <w:rFonts w:cstheme="minorHAnsi"/>
        </w:rPr>
        <w:t>have observed the</w:t>
      </w:r>
      <w:r w:rsidRPr="009E408F">
        <w:rPr>
          <w:rFonts w:cstheme="minorHAnsi"/>
        </w:rPr>
        <w:t xml:space="preserve"> commissioners </w:t>
      </w:r>
      <w:r w:rsidR="007B6322">
        <w:rPr>
          <w:rFonts w:cstheme="minorHAnsi"/>
        </w:rPr>
        <w:t xml:space="preserve">are </w:t>
      </w:r>
      <w:r w:rsidRPr="009E408F">
        <w:rPr>
          <w:rFonts w:cstheme="minorHAnsi"/>
        </w:rPr>
        <w:t>mov</w:t>
      </w:r>
      <w:r w:rsidR="007B6322">
        <w:rPr>
          <w:rFonts w:cstheme="minorHAnsi"/>
        </w:rPr>
        <w:t>ing</w:t>
      </w:r>
      <w:r w:rsidRPr="009E408F">
        <w:rPr>
          <w:rFonts w:cstheme="minorHAnsi"/>
        </w:rPr>
        <w:t xml:space="preserve"> away from holding both executive and non</w:t>
      </w:r>
      <w:r w:rsidR="00EF40B0">
        <w:rPr>
          <w:rFonts w:cstheme="minorHAnsi"/>
        </w:rPr>
        <w:noBreakHyphen/>
      </w:r>
      <w:r w:rsidRPr="009E408F">
        <w:rPr>
          <w:rFonts w:cstheme="minorHAnsi"/>
        </w:rPr>
        <w:t>executive roles</w:t>
      </w:r>
      <w:r w:rsidR="0042575F">
        <w:rPr>
          <w:rFonts w:cstheme="minorHAnsi"/>
        </w:rPr>
        <w:t>, as ASIC transitions to the new governance structure</w:t>
      </w:r>
      <w:r w:rsidRPr="009E408F">
        <w:rPr>
          <w:rFonts w:cstheme="minorHAnsi"/>
        </w:rPr>
        <w:t xml:space="preserve">. </w:t>
      </w:r>
      <w:r w:rsidR="000D21B0" w:rsidRPr="009E408F">
        <w:rPr>
          <w:rFonts w:cstheme="minorHAnsi"/>
        </w:rPr>
        <w:t>One commissioner noted that ASIC was mature on short term strategy priority setting but needed to focus more on non</w:t>
      </w:r>
      <w:r w:rsidR="00EF40B0">
        <w:rPr>
          <w:rFonts w:cstheme="minorHAnsi"/>
        </w:rPr>
        <w:noBreakHyphen/>
      </w:r>
      <w:r w:rsidR="000D21B0" w:rsidRPr="009E408F">
        <w:rPr>
          <w:rFonts w:cstheme="minorHAnsi"/>
        </w:rPr>
        <w:t xml:space="preserve">regulatory organisational priorities. Commissioners also noted the </w:t>
      </w:r>
      <w:r w:rsidR="00EF40B0">
        <w:rPr>
          <w:rFonts w:cstheme="minorHAnsi"/>
        </w:rPr>
        <w:t>‘</w:t>
      </w:r>
      <w:r w:rsidR="000D21B0" w:rsidRPr="009E408F">
        <w:rPr>
          <w:rFonts w:cstheme="minorHAnsi"/>
        </w:rPr>
        <w:t>natural tensions</w:t>
      </w:r>
      <w:r w:rsidR="00EF40B0">
        <w:rPr>
          <w:rFonts w:cstheme="minorHAnsi"/>
        </w:rPr>
        <w:t>’</w:t>
      </w:r>
      <w:r w:rsidR="000D21B0" w:rsidRPr="009E408F">
        <w:rPr>
          <w:rFonts w:cstheme="minorHAnsi"/>
        </w:rPr>
        <w:t xml:space="preserve"> in the transition, where commissioners can find it difficult to be strategic when in the detail of day</w:t>
      </w:r>
      <w:r w:rsidR="00EF40B0">
        <w:rPr>
          <w:rFonts w:cstheme="minorHAnsi"/>
        </w:rPr>
        <w:noBreakHyphen/>
      </w:r>
      <w:r w:rsidR="000D21B0" w:rsidRPr="009E408F">
        <w:rPr>
          <w:rFonts w:cstheme="minorHAnsi"/>
        </w:rPr>
        <w:t>to</w:t>
      </w:r>
      <w:r w:rsidR="00EF40B0">
        <w:rPr>
          <w:rFonts w:cstheme="minorHAnsi"/>
        </w:rPr>
        <w:noBreakHyphen/>
      </w:r>
      <w:r w:rsidR="000D21B0" w:rsidRPr="009E408F">
        <w:rPr>
          <w:rFonts w:cstheme="minorHAnsi"/>
        </w:rPr>
        <w:t>day regulatory matters. One senior public servant observed that ASIC tends to focus more on high profile regulatory issues and there has been underinvestment in ASIC</w:t>
      </w:r>
      <w:r w:rsidR="00EF40B0">
        <w:rPr>
          <w:rFonts w:cstheme="minorHAnsi"/>
        </w:rPr>
        <w:t>’</w:t>
      </w:r>
      <w:r w:rsidR="000D21B0" w:rsidRPr="009E408F">
        <w:rPr>
          <w:rFonts w:cstheme="minorHAnsi"/>
        </w:rPr>
        <w:t xml:space="preserve">s registry platform. During this </w:t>
      </w:r>
      <w:r w:rsidR="00FF1551">
        <w:rPr>
          <w:rFonts w:cstheme="minorHAnsi"/>
        </w:rPr>
        <w:t>r</w:t>
      </w:r>
      <w:r w:rsidR="000D21B0" w:rsidRPr="009E408F">
        <w:rPr>
          <w:rFonts w:cstheme="minorHAnsi"/>
        </w:rPr>
        <w:t>eview the FRAA has noted long</w:t>
      </w:r>
      <w:r w:rsidR="00EF40B0">
        <w:rPr>
          <w:rFonts w:cstheme="minorHAnsi"/>
        </w:rPr>
        <w:noBreakHyphen/>
      </w:r>
      <w:r w:rsidR="000D21B0" w:rsidRPr="009E408F">
        <w:rPr>
          <w:rFonts w:cstheme="minorHAnsi"/>
        </w:rPr>
        <w:t>term underinvestment in ASIC</w:t>
      </w:r>
      <w:r w:rsidR="00EF40B0">
        <w:rPr>
          <w:rFonts w:cstheme="minorHAnsi"/>
        </w:rPr>
        <w:t>’</w:t>
      </w:r>
      <w:r w:rsidR="000D21B0" w:rsidRPr="009E408F">
        <w:rPr>
          <w:rFonts w:cstheme="minorHAnsi"/>
        </w:rPr>
        <w:t>s data and technology capability.</w:t>
      </w:r>
      <w:r w:rsidR="00CA0269" w:rsidRPr="006A0F0A">
        <w:t xml:space="preserve"> </w:t>
      </w:r>
      <w:r w:rsidR="00E9799D">
        <w:rPr>
          <w:rFonts w:cstheme="minorHAnsi"/>
        </w:rPr>
        <w:t xml:space="preserve">The FRAA </w:t>
      </w:r>
      <w:r w:rsidR="00C0271B">
        <w:rPr>
          <w:rFonts w:cstheme="minorHAnsi"/>
        </w:rPr>
        <w:t xml:space="preserve">understands </w:t>
      </w:r>
      <w:r w:rsidR="00E9799D">
        <w:rPr>
          <w:rFonts w:cstheme="minorHAnsi"/>
        </w:rPr>
        <w:t>that historically this may have been driven by undue focus on day</w:t>
      </w:r>
      <w:r w:rsidR="00EF40B0">
        <w:rPr>
          <w:rFonts w:cstheme="minorHAnsi"/>
        </w:rPr>
        <w:noBreakHyphen/>
      </w:r>
      <w:r w:rsidR="00E9799D">
        <w:rPr>
          <w:rFonts w:cstheme="minorHAnsi"/>
        </w:rPr>
        <w:t>to</w:t>
      </w:r>
      <w:r w:rsidR="00EF40B0">
        <w:rPr>
          <w:rFonts w:cstheme="minorHAnsi"/>
        </w:rPr>
        <w:noBreakHyphen/>
      </w:r>
      <w:r w:rsidR="00E9799D">
        <w:rPr>
          <w:rFonts w:cstheme="minorHAnsi"/>
        </w:rPr>
        <w:t xml:space="preserve">day regulatory concerns at the expense of longer term structural and strategic considerations. </w:t>
      </w:r>
      <w:r w:rsidR="00F61500">
        <w:rPr>
          <w:rFonts w:cstheme="minorHAnsi"/>
        </w:rPr>
        <w:t>It is also a function of ASIC</w:t>
      </w:r>
      <w:r w:rsidR="00EF40B0">
        <w:rPr>
          <w:rFonts w:cstheme="minorHAnsi"/>
        </w:rPr>
        <w:t>’</w:t>
      </w:r>
      <w:r w:rsidR="00F61500">
        <w:rPr>
          <w:rFonts w:cstheme="minorHAnsi"/>
        </w:rPr>
        <w:t xml:space="preserve">s capital expenditure budget which is set by </w:t>
      </w:r>
      <w:r w:rsidR="00EE425E">
        <w:rPr>
          <w:rFonts w:cstheme="minorHAnsi"/>
        </w:rPr>
        <w:t>G</w:t>
      </w:r>
      <w:r w:rsidR="00F61500">
        <w:rPr>
          <w:rFonts w:cstheme="minorHAnsi"/>
        </w:rPr>
        <w:t xml:space="preserve">overnment, with limited flexibility to reallocate its operational expenditure budget to capital expenditure. </w:t>
      </w:r>
    </w:p>
    <w:p w14:paraId="14DDEF7D" w14:textId="5107AE9D" w:rsidR="004C4B0B" w:rsidRPr="009E408F" w:rsidRDefault="004C4B0B" w:rsidP="00975036">
      <w:pPr>
        <w:pStyle w:val="numberedtext"/>
        <w:numPr>
          <w:ilvl w:val="0"/>
          <w:numId w:val="19"/>
        </w:numPr>
        <w:ind w:left="573" w:hanging="573"/>
        <w:rPr>
          <w:rFonts w:cstheme="minorHAnsi"/>
        </w:rPr>
      </w:pPr>
      <w:r w:rsidRPr="009E408F">
        <w:rPr>
          <w:rFonts w:cstheme="minorHAnsi"/>
        </w:rPr>
        <w:t xml:space="preserve">Regarding the recent changes, ASIC commissioners and executive directors were positive about how the changes would serve ASIC in the immediate future. One commissioner noted that the introduction of the </w:t>
      </w:r>
      <w:r w:rsidR="009274BA">
        <w:rPr>
          <w:rFonts w:cstheme="minorHAnsi"/>
        </w:rPr>
        <w:t>Chief Operating Officer</w:t>
      </w:r>
      <w:r w:rsidRPr="009E408F">
        <w:rPr>
          <w:rFonts w:cstheme="minorHAnsi"/>
        </w:rPr>
        <w:t xml:space="preserve"> role will guide executive decision</w:t>
      </w:r>
      <w:r w:rsidR="00EF40B0">
        <w:rPr>
          <w:rFonts w:cstheme="minorHAnsi"/>
        </w:rPr>
        <w:noBreakHyphen/>
      </w:r>
      <w:r w:rsidRPr="009E408F">
        <w:rPr>
          <w:rFonts w:cstheme="minorHAnsi"/>
        </w:rPr>
        <w:t>making in part by helping commissioners overcome historical attachments to particular areas. A senior executive leader noted that</w:t>
      </w:r>
      <w:r w:rsidR="0018627F">
        <w:rPr>
          <w:rFonts w:cstheme="minorHAnsi"/>
        </w:rPr>
        <w:t xml:space="preserve"> </w:t>
      </w:r>
      <w:r w:rsidRPr="009E408F">
        <w:rPr>
          <w:rFonts w:cstheme="minorHAnsi"/>
        </w:rPr>
        <w:t xml:space="preserve">the </w:t>
      </w:r>
      <w:r w:rsidR="009274BA">
        <w:rPr>
          <w:rFonts w:cstheme="minorHAnsi"/>
        </w:rPr>
        <w:t>Chief Operating Officer</w:t>
      </w:r>
      <w:r w:rsidRPr="009E408F">
        <w:rPr>
          <w:rFonts w:cstheme="minorHAnsi"/>
        </w:rPr>
        <w:t xml:space="preserve"> role was </w:t>
      </w:r>
      <w:r w:rsidR="00295380">
        <w:rPr>
          <w:rFonts w:cstheme="minorHAnsi"/>
        </w:rPr>
        <w:t xml:space="preserve">necessary to ensure only strategic and significant regulatory </w:t>
      </w:r>
      <w:r w:rsidR="00472A38">
        <w:rPr>
          <w:rFonts w:cstheme="minorHAnsi"/>
        </w:rPr>
        <w:t>matters are considered by</w:t>
      </w:r>
      <w:r w:rsidRPr="009E408F">
        <w:rPr>
          <w:rFonts w:cstheme="minorHAnsi"/>
        </w:rPr>
        <w:t xml:space="preserve"> the Commission. Regarding the role of ASIC</w:t>
      </w:r>
      <w:r w:rsidR="00EF40B0">
        <w:rPr>
          <w:rFonts w:cstheme="minorHAnsi"/>
        </w:rPr>
        <w:t>’</w:t>
      </w:r>
      <w:r w:rsidRPr="009E408F">
        <w:rPr>
          <w:rFonts w:cstheme="minorHAnsi"/>
        </w:rPr>
        <w:t xml:space="preserve">s committees, one executive director noted that the Executive Committee is a relatively new forum and continues to mature. The general view across the Commission and executive directors was that the </w:t>
      </w:r>
      <w:r w:rsidR="009274BA">
        <w:rPr>
          <w:rFonts w:cstheme="minorHAnsi"/>
        </w:rPr>
        <w:t>Chief Operating Officer</w:t>
      </w:r>
      <w:r w:rsidRPr="009E408F">
        <w:rPr>
          <w:rFonts w:cstheme="minorHAnsi"/>
        </w:rPr>
        <w:t xml:space="preserve"> and Executive Committee will assist in delivering a </w:t>
      </w:r>
      <w:r w:rsidR="00EF40B0">
        <w:rPr>
          <w:rFonts w:cstheme="minorHAnsi"/>
        </w:rPr>
        <w:t>‘</w:t>
      </w:r>
      <w:r w:rsidRPr="009E408F">
        <w:rPr>
          <w:rFonts w:cstheme="minorHAnsi"/>
        </w:rPr>
        <w:t>whole</w:t>
      </w:r>
      <w:r w:rsidR="00EF40B0">
        <w:rPr>
          <w:rFonts w:cstheme="minorHAnsi"/>
        </w:rPr>
        <w:noBreakHyphen/>
      </w:r>
      <w:r w:rsidRPr="009E408F">
        <w:rPr>
          <w:rFonts w:cstheme="minorHAnsi"/>
        </w:rPr>
        <w:t>of</w:t>
      </w:r>
      <w:r w:rsidR="00EF40B0">
        <w:rPr>
          <w:rFonts w:cstheme="minorHAnsi"/>
        </w:rPr>
        <w:noBreakHyphen/>
      </w:r>
      <w:r w:rsidRPr="009E408F">
        <w:rPr>
          <w:rFonts w:cstheme="minorHAnsi"/>
        </w:rPr>
        <w:t>ASIC</w:t>
      </w:r>
      <w:r w:rsidR="00EF40B0">
        <w:rPr>
          <w:rFonts w:cstheme="minorHAnsi"/>
        </w:rPr>
        <w:t>’</w:t>
      </w:r>
      <w:r w:rsidRPr="009E408F">
        <w:rPr>
          <w:rFonts w:cstheme="minorHAnsi"/>
        </w:rPr>
        <w:t xml:space="preserve"> view to the Commission.</w:t>
      </w:r>
    </w:p>
    <w:p w14:paraId="2139427B" w14:textId="6CBD152D" w:rsidR="00931B94" w:rsidRDefault="004C4B0B" w:rsidP="00975036">
      <w:pPr>
        <w:pStyle w:val="numberedtext"/>
        <w:numPr>
          <w:ilvl w:val="0"/>
          <w:numId w:val="19"/>
        </w:numPr>
        <w:ind w:left="573" w:hanging="573"/>
        <w:rPr>
          <w:rFonts w:cstheme="minorHAnsi"/>
        </w:rPr>
      </w:pPr>
      <w:r w:rsidRPr="009E408F">
        <w:rPr>
          <w:rFonts w:cstheme="minorHAnsi"/>
        </w:rPr>
        <w:t>ASIC</w:t>
      </w:r>
      <w:r w:rsidR="00EF40B0">
        <w:rPr>
          <w:rFonts w:cstheme="minorHAnsi"/>
        </w:rPr>
        <w:t>’</w:t>
      </w:r>
      <w:r w:rsidRPr="009E408F">
        <w:rPr>
          <w:rFonts w:cstheme="minorHAnsi"/>
        </w:rPr>
        <w:t xml:space="preserve">s commissioners and executive directors acknowledged that more time is needed to embed the shift in responsibilities and accountabilities arising from changes to the governance structure. In the ASIC staff survey, respondents noted that ASIC could provide greater clarity about the responsibilities of commissioners and executive directors. Some ASIC staff </w:t>
      </w:r>
      <w:r w:rsidR="009274BA">
        <w:rPr>
          <w:rFonts w:cstheme="minorHAnsi"/>
        </w:rPr>
        <w:t>members</w:t>
      </w:r>
      <w:r w:rsidRPr="009E408F">
        <w:rPr>
          <w:rFonts w:cstheme="minorHAnsi"/>
        </w:rPr>
        <w:t xml:space="preserve"> below senior executive leader level noted that the separation of responsibilities and powers is unclear.</w:t>
      </w:r>
      <w:r w:rsidRPr="00B86F70">
        <w:rPr>
          <w:vertAlign w:val="superscript"/>
        </w:rPr>
        <w:footnoteReference w:id="42"/>
      </w:r>
    </w:p>
    <w:p w14:paraId="2CE2513D" w14:textId="77777777" w:rsidR="00931B94" w:rsidRDefault="00931B94">
      <w:pPr>
        <w:spacing w:before="0" w:after="160" w:line="259" w:lineRule="auto"/>
        <w:rPr>
          <w:rFonts w:asciiTheme="minorHAnsi" w:eastAsiaTheme="minorHAnsi" w:hAnsiTheme="minorHAnsi" w:cstheme="minorHAnsi"/>
          <w:szCs w:val="22"/>
          <w:lang w:eastAsia="en-US"/>
        </w:rPr>
      </w:pPr>
      <w:r>
        <w:rPr>
          <w:rFonts w:cstheme="minorHAnsi"/>
        </w:rPr>
        <w:br w:type="page"/>
      </w:r>
    </w:p>
    <w:p w14:paraId="2CB8389D" w14:textId="77777777" w:rsidR="00E26C84" w:rsidRPr="00A51761" w:rsidRDefault="00E26C84" w:rsidP="000D21B0">
      <w:pPr>
        <w:pStyle w:val="Heading2"/>
        <w:rPr>
          <w:rFonts w:eastAsiaTheme="minorHAnsi"/>
        </w:rPr>
      </w:pPr>
      <w:bookmarkStart w:id="74" w:name="_Toc110241821"/>
      <w:r w:rsidRPr="00A51761">
        <w:rPr>
          <w:rFonts w:eastAsiaTheme="minorHAnsi"/>
        </w:rPr>
        <w:lastRenderedPageBreak/>
        <w:t>Assessment</w:t>
      </w:r>
      <w:bookmarkEnd w:id="74"/>
    </w:p>
    <w:p w14:paraId="3260B97A" w14:textId="3D87C7F8" w:rsidR="00E26C84" w:rsidRPr="009E408F" w:rsidRDefault="004C4B0B" w:rsidP="00975036">
      <w:pPr>
        <w:pStyle w:val="numberedtext"/>
        <w:numPr>
          <w:ilvl w:val="0"/>
          <w:numId w:val="19"/>
        </w:numPr>
        <w:ind w:left="573" w:hanging="573"/>
        <w:rPr>
          <w:rFonts w:cstheme="minorHAnsi"/>
        </w:rPr>
      </w:pPr>
      <w:r w:rsidRPr="009E408F">
        <w:rPr>
          <w:rFonts w:cstheme="minorHAnsi"/>
        </w:rPr>
        <w:t>The FRAA will not comment on the effectiveness and capability of ASIC</w:t>
      </w:r>
      <w:r w:rsidR="00EF40B0">
        <w:rPr>
          <w:rFonts w:cstheme="minorHAnsi"/>
        </w:rPr>
        <w:t>’</w:t>
      </w:r>
      <w:r w:rsidRPr="009E408F">
        <w:rPr>
          <w:rFonts w:cstheme="minorHAnsi"/>
        </w:rPr>
        <w:t xml:space="preserve">s governance structure as this </w:t>
      </w:r>
      <w:r w:rsidR="000D21B0" w:rsidRPr="009E408F">
        <w:rPr>
          <w:rFonts w:cstheme="minorHAnsi"/>
        </w:rPr>
        <w:t xml:space="preserve">was </w:t>
      </w:r>
      <w:r w:rsidR="00E26C84" w:rsidRPr="009E408F">
        <w:rPr>
          <w:rFonts w:cstheme="minorHAnsi"/>
        </w:rPr>
        <w:t xml:space="preserve">not </w:t>
      </w:r>
      <w:r w:rsidR="008F1EB9">
        <w:rPr>
          <w:rFonts w:cstheme="minorHAnsi"/>
        </w:rPr>
        <w:t xml:space="preserve">an </w:t>
      </w:r>
      <w:r w:rsidR="000D21B0" w:rsidRPr="009E408F">
        <w:rPr>
          <w:rFonts w:cstheme="minorHAnsi"/>
        </w:rPr>
        <w:t>area of focus for</w:t>
      </w:r>
      <w:r w:rsidR="00E26C84" w:rsidRPr="009E408F">
        <w:rPr>
          <w:rFonts w:cstheme="minorHAnsi"/>
        </w:rPr>
        <w:t xml:space="preserve"> this </w:t>
      </w:r>
      <w:r w:rsidR="00FF1551">
        <w:rPr>
          <w:rFonts w:cstheme="minorHAnsi"/>
        </w:rPr>
        <w:t>r</w:t>
      </w:r>
      <w:r w:rsidRPr="009E408F">
        <w:rPr>
          <w:rFonts w:cstheme="minorHAnsi"/>
        </w:rPr>
        <w:t>eview.</w:t>
      </w:r>
      <w:r w:rsidR="00E26C84" w:rsidRPr="009E408F">
        <w:rPr>
          <w:rFonts w:cstheme="minorHAnsi"/>
        </w:rPr>
        <w:t xml:space="preserve"> </w:t>
      </w:r>
    </w:p>
    <w:p w14:paraId="43B83A03" w14:textId="2AB6C9A8" w:rsidR="00E26C84" w:rsidRPr="009E408F" w:rsidRDefault="00E26C84" w:rsidP="00975036">
      <w:pPr>
        <w:pStyle w:val="numberedtext"/>
        <w:numPr>
          <w:ilvl w:val="0"/>
          <w:numId w:val="19"/>
        </w:numPr>
        <w:ind w:left="573" w:hanging="573"/>
        <w:rPr>
          <w:rFonts w:cstheme="minorHAnsi"/>
        </w:rPr>
      </w:pPr>
      <w:r w:rsidRPr="009E408F">
        <w:rPr>
          <w:rFonts w:cstheme="minorHAnsi"/>
        </w:rPr>
        <w:t xml:space="preserve">The FRAA </w:t>
      </w:r>
      <w:r w:rsidR="009274BA">
        <w:rPr>
          <w:rFonts w:cstheme="minorHAnsi"/>
        </w:rPr>
        <w:t>acknowledges</w:t>
      </w:r>
      <w:r w:rsidR="009274BA" w:rsidRPr="009E408F">
        <w:rPr>
          <w:rFonts w:cstheme="minorHAnsi"/>
        </w:rPr>
        <w:t xml:space="preserve"> </w:t>
      </w:r>
      <w:r w:rsidRPr="009E408F">
        <w:rPr>
          <w:rFonts w:cstheme="minorHAnsi"/>
        </w:rPr>
        <w:t>the findings of previous reviews of ASIC relati</w:t>
      </w:r>
      <w:r w:rsidR="009274BA">
        <w:rPr>
          <w:rFonts w:cstheme="minorHAnsi"/>
        </w:rPr>
        <w:t>ng</w:t>
      </w:r>
      <w:r w:rsidRPr="009E408F">
        <w:rPr>
          <w:rFonts w:cstheme="minorHAnsi"/>
        </w:rPr>
        <w:t xml:space="preserve"> to its governance and accountability framework</w:t>
      </w:r>
      <w:r w:rsidR="009274BA">
        <w:rPr>
          <w:rFonts w:cstheme="minorHAnsi"/>
        </w:rPr>
        <w:t>,</w:t>
      </w:r>
      <w:r w:rsidRPr="009E408F">
        <w:rPr>
          <w:rFonts w:cstheme="minorHAnsi"/>
        </w:rPr>
        <w:t xml:space="preserve"> and the changes ASIC has made to improve this aspect of its operations. </w:t>
      </w:r>
      <w:r w:rsidR="004C4B0B" w:rsidRPr="009E408F">
        <w:rPr>
          <w:rFonts w:cstheme="minorHAnsi"/>
        </w:rPr>
        <w:t xml:space="preserve">By introducing the executive director layer, </w:t>
      </w:r>
      <w:r w:rsidR="009274BA">
        <w:rPr>
          <w:rFonts w:cstheme="minorHAnsi"/>
        </w:rPr>
        <w:t>Chief Risk Officer</w:t>
      </w:r>
      <w:r w:rsidR="004C4B0B" w:rsidRPr="009E408F">
        <w:rPr>
          <w:rFonts w:cstheme="minorHAnsi"/>
        </w:rPr>
        <w:t xml:space="preserve"> and </w:t>
      </w:r>
      <w:r w:rsidR="009274BA">
        <w:rPr>
          <w:rFonts w:cstheme="minorHAnsi"/>
        </w:rPr>
        <w:t>Chief Operating Officer</w:t>
      </w:r>
      <w:r w:rsidRPr="009E408F">
        <w:rPr>
          <w:rFonts w:cstheme="minorHAnsi"/>
        </w:rPr>
        <w:t xml:space="preserve"> roles, ASIC has made a concerted effort to separate the executive roles from commissioners such that the Commission can focus on strategic and high</w:t>
      </w:r>
      <w:r w:rsidR="00EF40B0">
        <w:rPr>
          <w:rFonts w:cstheme="minorHAnsi"/>
        </w:rPr>
        <w:noBreakHyphen/>
      </w:r>
      <w:r w:rsidRPr="009E408F">
        <w:rPr>
          <w:rFonts w:cstheme="minorHAnsi"/>
        </w:rPr>
        <w:t>level regulatory decision</w:t>
      </w:r>
      <w:r w:rsidR="00EF40B0">
        <w:rPr>
          <w:rFonts w:cstheme="minorHAnsi"/>
        </w:rPr>
        <w:noBreakHyphen/>
      </w:r>
      <w:r w:rsidRPr="009E408F">
        <w:rPr>
          <w:rFonts w:cstheme="minorHAnsi"/>
        </w:rPr>
        <w:t xml:space="preserve">making and external engagement. Feedback </w:t>
      </w:r>
      <w:r w:rsidR="009274BA">
        <w:rPr>
          <w:rFonts w:cstheme="minorHAnsi"/>
        </w:rPr>
        <w:t xml:space="preserve">from </w:t>
      </w:r>
      <w:r w:rsidR="00D7210D">
        <w:rPr>
          <w:rFonts w:cstheme="minorHAnsi"/>
        </w:rPr>
        <w:t>stakeholders and</w:t>
      </w:r>
      <w:r w:rsidR="003466A9">
        <w:rPr>
          <w:rFonts w:cstheme="minorHAnsi"/>
        </w:rPr>
        <w:t xml:space="preserve"> ASIC</w:t>
      </w:r>
      <w:r w:rsidR="00D7210D">
        <w:rPr>
          <w:rFonts w:cstheme="minorHAnsi"/>
        </w:rPr>
        <w:t xml:space="preserve"> staff</w:t>
      </w:r>
      <w:r w:rsidR="009274BA">
        <w:rPr>
          <w:rFonts w:cstheme="minorHAnsi"/>
        </w:rPr>
        <w:t xml:space="preserve"> </w:t>
      </w:r>
      <w:r w:rsidRPr="009E408F">
        <w:rPr>
          <w:rFonts w:cstheme="minorHAnsi"/>
        </w:rPr>
        <w:t xml:space="preserve">received during this </w:t>
      </w:r>
      <w:r w:rsidR="00FF1551">
        <w:rPr>
          <w:rFonts w:cstheme="minorHAnsi"/>
        </w:rPr>
        <w:t>r</w:t>
      </w:r>
      <w:r w:rsidRPr="009E408F">
        <w:rPr>
          <w:rFonts w:cstheme="minorHAnsi"/>
        </w:rPr>
        <w:t xml:space="preserve">eview suggested this is still work in progress. </w:t>
      </w:r>
    </w:p>
    <w:p w14:paraId="0D9663E1" w14:textId="34A8F222" w:rsidR="004C4B0B" w:rsidRPr="009E408F" w:rsidRDefault="004C4B0B" w:rsidP="00975036">
      <w:pPr>
        <w:pStyle w:val="numberedtext"/>
        <w:numPr>
          <w:ilvl w:val="0"/>
          <w:numId w:val="19"/>
        </w:numPr>
        <w:ind w:left="573" w:hanging="573"/>
        <w:rPr>
          <w:rFonts w:cstheme="minorHAnsi"/>
        </w:rPr>
      </w:pPr>
      <w:r w:rsidRPr="009E408F">
        <w:rPr>
          <w:rFonts w:cstheme="minorHAnsi"/>
        </w:rPr>
        <w:t>The FRAA supports recent changes ASIC made to its governance structure</w:t>
      </w:r>
      <w:r w:rsidR="009274BA">
        <w:rPr>
          <w:rFonts w:cstheme="minorHAnsi"/>
        </w:rPr>
        <w:t>,</w:t>
      </w:r>
      <w:r w:rsidRPr="009E408F">
        <w:rPr>
          <w:rFonts w:cstheme="minorHAnsi"/>
        </w:rPr>
        <w:t xml:space="preserve"> and </w:t>
      </w:r>
      <w:r w:rsidR="009274BA">
        <w:rPr>
          <w:rFonts w:cstheme="minorHAnsi"/>
        </w:rPr>
        <w:t>its</w:t>
      </w:r>
      <w:r w:rsidR="009274BA" w:rsidRPr="009E408F">
        <w:rPr>
          <w:rFonts w:cstheme="minorHAnsi"/>
        </w:rPr>
        <w:t xml:space="preserve"> </w:t>
      </w:r>
      <w:r w:rsidRPr="009E408F">
        <w:rPr>
          <w:rFonts w:cstheme="minorHAnsi"/>
        </w:rPr>
        <w:t xml:space="preserve">efforts </w:t>
      </w:r>
      <w:r w:rsidR="009274BA">
        <w:rPr>
          <w:rFonts w:cstheme="minorHAnsi"/>
        </w:rPr>
        <w:t>to</w:t>
      </w:r>
      <w:r w:rsidRPr="009E408F">
        <w:rPr>
          <w:rFonts w:cstheme="minorHAnsi"/>
        </w:rPr>
        <w:t xml:space="preserve"> continu</w:t>
      </w:r>
      <w:r w:rsidR="009274BA">
        <w:rPr>
          <w:rFonts w:cstheme="minorHAnsi"/>
        </w:rPr>
        <w:t>e</w:t>
      </w:r>
      <w:r w:rsidRPr="009E408F">
        <w:rPr>
          <w:rFonts w:cstheme="minorHAnsi"/>
        </w:rPr>
        <w:t xml:space="preserve"> </w:t>
      </w:r>
      <w:r w:rsidR="009274BA">
        <w:rPr>
          <w:rFonts w:cstheme="minorHAnsi"/>
        </w:rPr>
        <w:t xml:space="preserve">implementing </w:t>
      </w:r>
      <w:r w:rsidRPr="009E408F">
        <w:rPr>
          <w:rFonts w:cstheme="minorHAnsi"/>
        </w:rPr>
        <w:t xml:space="preserve">the roles and accountabilities of the commissioners, </w:t>
      </w:r>
      <w:r w:rsidR="009274BA">
        <w:rPr>
          <w:rFonts w:cstheme="minorHAnsi"/>
        </w:rPr>
        <w:t>Chief Operating Officer</w:t>
      </w:r>
      <w:r w:rsidRPr="009E408F">
        <w:rPr>
          <w:rFonts w:cstheme="minorHAnsi"/>
        </w:rPr>
        <w:t xml:space="preserve"> and executive directors.</w:t>
      </w:r>
    </w:p>
    <w:p w14:paraId="5D825999" w14:textId="6CD8B513" w:rsidR="004C4B0B" w:rsidRPr="009E408F" w:rsidRDefault="004C4B0B" w:rsidP="00975036">
      <w:pPr>
        <w:pStyle w:val="numberedtext"/>
        <w:numPr>
          <w:ilvl w:val="0"/>
          <w:numId w:val="19"/>
        </w:numPr>
        <w:ind w:left="573" w:hanging="573"/>
        <w:rPr>
          <w:rFonts w:cstheme="minorHAnsi"/>
        </w:rPr>
      </w:pPr>
      <w:r w:rsidRPr="009E408F">
        <w:rPr>
          <w:rFonts w:cstheme="minorHAnsi"/>
        </w:rPr>
        <w:t>The 2024 ASIC review by the FRAA will consider how the changes in ASIC</w:t>
      </w:r>
      <w:r w:rsidR="00EF40B0">
        <w:rPr>
          <w:rFonts w:cstheme="minorHAnsi"/>
        </w:rPr>
        <w:t>’</w:t>
      </w:r>
      <w:r w:rsidRPr="009E408F">
        <w:rPr>
          <w:rFonts w:cstheme="minorHAnsi"/>
        </w:rPr>
        <w:t>s governance and accountability framework are operating in practice and whether they have been effective in improving decision</w:t>
      </w:r>
      <w:r w:rsidR="00EF40B0">
        <w:rPr>
          <w:rFonts w:cstheme="minorHAnsi"/>
        </w:rPr>
        <w:noBreakHyphen/>
      </w:r>
      <w:r w:rsidRPr="009E408F">
        <w:rPr>
          <w:rFonts w:cstheme="minorHAnsi"/>
        </w:rPr>
        <w:t xml:space="preserve">making and accountability. </w:t>
      </w:r>
    </w:p>
    <w:p w14:paraId="541DB3A1" w14:textId="77777777" w:rsidR="00E26C84" w:rsidRDefault="00E26C84" w:rsidP="004C4B0B">
      <w:pPr>
        <w:rPr>
          <w:rFonts w:asciiTheme="majorHAnsi" w:eastAsiaTheme="majorEastAsia" w:hAnsiTheme="majorHAnsi" w:cstheme="minorHAnsi"/>
          <w:color w:val="002035" w:themeColor="accent1" w:themeShade="BF"/>
          <w:sz w:val="36"/>
          <w:szCs w:val="36"/>
        </w:rPr>
      </w:pPr>
      <w:r>
        <w:rPr>
          <w:rFonts w:eastAsia="Calibri" w:cstheme="minorHAnsi"/>
          <w:sz w:val="36"/>
          <w:szCs w:val="36"/>
        </w:rPr>
        <w:br w:type="page"/>
      </w:r>
    </w:p>
    <w:p w14:paraId="12811782" w14:textId="7D7C6456" w:rsidR="00E26C84" w:rsidRPr="008E4CBA" w:rsidRDefault="00E26C84" w:rsidP="000D21B0">
      <w:pPr>
        <w:pStyle w:val="Heading2"/>
        <w:rPr>
          <w:rFonts w:eastAsiaTheme="minorHAnsi"/>
        </w:rPr>
      </w:pPr>
      <w:bookmarkStart w:id="75" w:name="_Toc110241822"/>
      <w:r w:rsidRPr="008E4CBA">
        <w:rPr>
          <w:rFonts w:eastAsiaTheme="minorHAnsi"/>
        </w:rPr>
        <w:lastRenderedPageBreak/>
        <w:t>Strategic prioritisation, planning and decision</w:t>
      </w:r>
      <w:r w:rsidR="00EF40B0">
        <w:rPr>
          <w:rFonts w:eastAsiaTheme="minorHAnsi"/>
        </w:rPr>
        <w:noBreakHyphen/>
      </w:r>
      <w:r w:rsidRPr="008E4CBA">
        <w:rPr>
          <w:rFonts w:eastAsiaTheme="minorHAnsi"/>
        </w:rPr>
        <w:t>making</w:t>
      </w:r>
      <w:bookmarkEnd w:id="75"/>
      <w:r w:rsidRPr="008E4CBA">
        <w:rPr>
          <w:rFonts w:eastAsiaTheme="minorHAnsi"/>
        </w:rPr>
        <w:t xml:space="preserve"> </w:t>
      </w:r>
    </w:p>
    <w:p w14:paraId="7D6F9EE7" w14:textId="77777777" w:rsidR="00E26C84" w:rsidRPr="00EA4D0D" w:rsidRDefault="00E26C84" w:rsidP="000D21B0">
      <w:pPr>
        <w:pStyle w:val="Heading3"/>
      </w:pPr>
      <w:bookmarkStart w:id="76" w:name="_Toc108786432"/>
      <w:r w:rsidRPr="00EA4D0D">
        <w:t>Strategic planning process</w:t>
      </w:r>
      <w:bookmarkEnd w:id="76"/>
    </w:p>
    <w:p w14:paraId="3E300B77" w14:textId="4F3B424F" w:rsidR="00E26C84" w:rsidRPr="00232B92" w:rsidRDefault="00E26C84" w:rsidP="00975036">
      <w:pPr>
        <w:pStyle w:val="numberedtext"/>
        <w:numPr>
          <w:ilvl w:val="0"/>
          <w:numId w:val="19"/>
        </w:numPr>
        <w:ind w:left="573" w:hanging="573"/>
        <w:rPr>
          <w:rFonts w:cstheme="minorHAnsi"/>
        </w:rPr>
      </w:pPr>
      <w:r w:rsidRPr="00232B92">
        <w:rPr>
          <w:rFonts w:cstheme="minorHAnsi"/>
        </w:rPr>
        <w:t>ASIC</w:t>
      </w:r>
      <w:r w:rsidR="00EF40B0">
        <w:rPr>
          <w:rFonts w:cstheme="minorHAnsi"/>
        </w:rPr>
        <w:t>’</w:t>
      </w:r>
      <w:r w:rsidRPr="00232B92">
        <w:rPr>
          <w:rFonts w:cstheme="minorHAnsi"/>
        </w:rPr>
        <w:t>s annual strategic planning process identifies threats and harms</w:t>
      </w:r>
      <w:r w:rsidR="009274BA">
        <w:rPr>
          <w:rFonts w:cstheme="minorHAnsi"/>
        </w:rPr>
        <w:t>.</w:t>
      </w:r>
      <w:r w:rsidRPr="00232B92">
        <w:rPr>
          <w:rFonts w:cstheme="minorHAnsi"/>
        </w:rPr>
        <w:t xml:space="preserve"> </w:t>
      </w:r>
      <w:r w:rsidR="009274BA">
        <w:rPr>
          <w:rFonts w:cstheme="minorHAnsi"/>
        </w:rPr>
        <w:t>It</w:t>
      </w:r>
      <w:r w:rsidR="009274BA" w:rsidRPr="00232B92">
        <w:rPr>
          <w:rFonts w:cstheme="minorHAnsi"/>
        </w:rPr>
        <w:t xml:space="preserve"> </w:t>
      </w:r>
      <w:r w:rsidR="009274BA">
        <w:rPr>
          <w:rFonts w:cstheme="minorHAnsi"/>
        </w:rPr>
        <w:t>enables</w:t>
      </w:r>
      <w:r w:rsidRPr="00232B92">
        <w:rPr>
          <w:rFonts w:cstheme="minorHAnsi"/>
        </w:rPr>
        <w:t xml:space="preserve"> ASIC to determine its strategic priorities and the activities to address </w:t>
      </w:r>
      <w:r w:rsidR="009274BA">
        <w:rPr>
          <w:rFonts w:cstheme="minorHAnsi"/>
        </w:rPr>
        <w:t>those threats and harms</w:t>
      </w:r>
      <w:r w:rsidRPr="00232B92">
        <w:rPr>
          <w:rFonts w:cstheme="minorHAnsi"/>
        </w:rPr>
        <w:t xml:space="preserve">. </w:t>
      </w:r>
      <w:r w:rsidR="00EF40B0">
        <w:rPr>
          <w:rFonts w:cstheme="minorHAnsi"/>
        </w:rPr>
        <w:t>‘</w:t>
      </w:r>
      <w:r w:rsidR="004C4B0B" w:rsidRPr="00232B92">
        <w:rPr>
          <w:rFonts w:cstheme="minorHAnsi"/>
        </w:rPr>
        <w:t>Strategic</w:t>
      </w:r>
      <w:r w:rsidRPr="00232B92">
        <w:rPr>
          <w:rFonts w:cstheme="minorHAnsi"/>
        </w:rPr>
        <w:t xml:space="preserve"> priorities</w:t>
      </w:r>
      <w:r w:rsidR="00EF40B0">
        <w:rPr>
          <w:rFonts w:cstheme="minorHAnsi"/>
        </w:rPr>
        <w:t>’</w:t>
      </w:r>
      <w:r w:rsidRPr="00232B92">
        <w:rPr>
          <w:rFonts w:cstheme="minorHAnsi"/>
        </w:rPr>
        <w:t xml:space="preserve"> are the areas ASIC will focus on for the next 4 years and are published in ASIC</w:t>
      </w:r>
      <w:r w:rsidR="00EF40B0">
        <w:rPr>
          <w:rFonts w:cstheme="minorHAnsi"/>
        </w:rPr>
        <w:t>’</w:t>
      </w:r>
      <w:r w:rsidRPr="00232B92">
        <w:rPr>
          <w:rFonts w:cstheme="minorHAnsi"/>
        </w:rPr>
        <w:t>s Corporate Plan.</w:t>
      </w:r>
    </w:p>
    <w:p w14:paraId="54349E55" w14:textId="518875A6" w:rsidR="00E26C84" w:rsidRPr="00232B92" w:rsidRDefault="00E26C84" w:rsidP="00975036">
      <w:pPr>
        <w:pStyle w:val="numberedtext"/>
        <w:numPr>
          <w:ilvl w:val="0"/>
          <w:numId w:val="19"/>
        </w:numPr>
        <w:ind w:left="573" w:hanging="573"/>
        <w:rPr>
          <w:rFonts w:cstheme="minorHAnsi"/>
        </w:rPr>
      </w:pPr>
      <w:r w:rsidRPr="00232B92">
        <w:rPr>
          <w:rFonts w:cstheme="minorHAnsi"/>
        </w:rPr>
        <w:t>The Commission is responsible for setting ASIC</w:t>
      </w:r>
      <w:r w:rsidR="00EF40B0">
        <w:rPr>
          <w:rFonts w:cstheme="minorHAnsi"/>
        </w:rPr>
        <w:t>’</w:t>
      </w:r>
      <w:r w:rsidRPr="00232B92">
        <w:rPr>
          <w:rFonts w:cstheme="minorHAnsi"/>
        </w:rPr>
        <w:t xml:space="preserve">s strategic priorities which encompass: </w:t>
      </w:r>
    </w:p>
    <w:p w14:paraId="01AB1560" w14:textId="1E46D35C" w:rsidR="004C4B0B" w:rsidRPr="00BD3526" w:rsidRDefault="009274BA" w:rsidP="00AC2839">
      <w:pPr>
        <w:pStyle w:val="Bullet"/>
        <w:rPr>
          <w:b/>
          <w:bCs/>
        </w:rPr>
      </w:pPr>
      <w:r>
        <w:rPr>
          <w:b/>
          <w:bCs/>
        </w:rPr>
        <w:t>e</w:t>
      </w:r>
      <w:r w:rsidR="004C4B0B" w:rsidRPr="0034715B">
        <w:rPr>
          <w:b/>
          <w:bCs/>
        </w:rPr>
        <w:t>xternal</w:t>
      </w:r>
      <w:r>
        <w:rPr>
          <w:b/>
          <w:bCs/>
        </w:rPr>
        <w:t xml:space="preserve"> priorities</w:t>
      </w:r>
      <w:r w:rsidR="004C4B0B">
        <w:t xml:space="preserve">: </w:t>
      </w:r>
      <w:r w:rsidR="004C4B0B" w:rsidRPr="00C80609">
        <w:t xml:space="preserve">targeting the most significant </w:t>
      </w:r>
      <w:r w:rsidR="004C4B0B">
        <w:t xml:space="preserve">identified </w:t>
      </w:r>
      <w:r w:rsidR="004C4B0B" w:rsidRPr="00C80609">
        <w:t>threats and harms in ASIC</w:t>
      </w:r>
      <w:r w:rsidR="00EF40B0">
        <w:t>’</w:t>
      </w:r>
      <w:r w:rsidR="004C4B0B" w:rsidRPr="00C80609">
        <w:t>s regulatory environment</w:t>
      </w:r>
      <w:r w:rsidR="004C4B0B">
        <w:t xml:space="preserve">. </w:t>
      </w:r>
    </w:p>
    <w:p w14:paraId="1B5FA5F8" w14:textId="5EA47FB5" w:rsidR="00E26C84" w:rsidRDefault="009274BA" w:rsidP="00AC2839">
      <w:pPr>
        <w:pStyle w:val="Bullet"/>
      </w:pPr>
      <w:r>
        <w:rPr>
          <w:b/>
          <w:bCs/>
        </w:rPr>
        <w:t>i</w:t>
      </w:r>
      <w:r w:rsidR="004C4B0B" w:rsidRPr="0034715B">
        <w:rPr>
          <w:b/>
          <w:bCs/>
        </w:rPr>
        <w:t>nternal</w:t>
      </w:r>
      <w:r>
        <w:rPr>
          <w:b/>
          <w:bCs/>
        </w:rPr>
        <w:t xml:space="preserve"> priorities</w:t>
      </w:r>
      <w:r w:rsidR="00E26C84">
        <w:t xml:space="preserve">: </w:t>
      </w:r>
      <w:r w:rsidR="00E26C84" w:rsidRPr="00C80609">
        <w:t>focusing on ASIC</w:t>
      </w:r>
      <w:r w:rsidR="00EF40B0">
        <w:t>’</w:t>
      </w:r>
      <w:r w:rsidR="00E26C84" w:rsidRPr="00C80609">
        <w:t xml:space="preserve">s operational </w:t>
      </w:r>
      <w:r w:rsidR="00E26C84" w:rsidRPr="00AC2839">
        <w:t>capabilities</w:t>
      </w:r>
      <w:r w:rsidR="00E26C84">
        <w:t>.</w:t>
      </w:r>
    </w:p>
    <w:p w14:paraId="3F6EE760" w14:textId="6CBFDFE7" w:rsidR="000D21B0" w:rsidRPr="00232B92" w:rsidRDefault="000D21B0" w:rsidP="00975036">
      <w:pPr>
        <w:pStyle w:val="numberedtext"/>
        <w:numPr>
          <w:ilvl w:val="0"/>
          <w:numId w:val="19"/>
        </w:numPr>
        <w:ind w:left="573" w:hanging="573"/>
        <w:rPr>
          <w:rFonts w:cstheme="minorHAnsi"/>
        </w:rPr>
      </w:pPr>
      <w:r w:rsidRPr="00232B92">
        <w:rPr>
          <w:rFonts w:cstheme="minorHAnsi"/>
        </w:rPr>
        <w:t>Figure 3</w:t>
      </w:r>
      <w:r w:rsidR="00603077">
        <w:rPr>
          <w:rFonts w:cstheme="minorHAnsi"/>
        </w:rPr>
        <w:t>.3</w:t>
      </w:r>
      <w:r w:rsidRPr="00232B92">
        <w:rPr>
          <w:rFonts w:cstheme="minorHAnsi"/>
        </w:rPr>
        <w:t xml:space="preserve"> summarises the elements of the phases of ASIC</w:t>
      </w:r>
      <w:r w:rsidR="00EF40B0">
        <w:rPr>
          <w:rFonts w:cstheme="minorHAnsi"/>
        </w:rPr>
        <w:t>’</w:t>
      </w:r>
      <w:r w:rsidRPr="00232B92">
        <w:rPr>
          <w:rFonts w:cstheme="minorHAnsi"/>
        </w:rPr>
        <w:t>s strategic planning process.</w:t>
      </w:r>
    </w:p>
    <w:p w14:paraId="03C1E99E" w14:textId="73E224A2" w:rsidR="004C4B0B" w:rsidRPr="00517D2A" w:rsidRDefault="004C4B0B" w:rsidP="00C606AD">
      <w:pPr>
        <w:pStyle w:val="FigureMainHeading"/>
        <w:spacing w:after="120"/>
        <w:rPr>
          <w:iCs/>
        </w:rPr>
      </w:pPr>
      <w:bookmarkStart w:id="77" w:name="Figure_3_3"/>
      <w:r w:rsidRPr="00517D2A">
        <w:rPr>
          <w:iCs/>
        </w:rPr>
        <w:t>Figure 3.3</w:t>
      </w:r>
      <w:bookmarkEnd w:id="77"/>
      <w:r w:rsidR="000D21B0" w:rsidRPr="00517D2A">
        <w:t>: ASIC</w:t>
      </w:r>
      <w:r w:rsidR="00EF40B0">
        <w:t>’</w:t>
      </w:r>
      <w:r w:rsidR="000D21B0" w:rsidRPr="00517D2A">
        <w:t>s strategic planning process</w:t>
      </w:r>
    </w:p>
    <w:p w14:paraId="412C0400" w14:textId="77777777" w:rsidR="004C4B0B" w:rsidRDefault="004C4B0B" w:rsidP="001A1CBE">
      <w:pPr>
        <w:pStyle w:val="ChartGraphic"/>
      </w:pPr>
      <w:r w:rsidRPr="007E628E">
        <w:rPr>
          <w:noProof/>
          <w:shd w:val="clear" w:color="auto" w:fill="E6E6E6"/>
        </w:rPr>
        <w:drawing>
          <wp:inline distT="0" distB="0" distL="0" distR="0" wp14:anchorId="1153A26E" wp14:editId="52A38A9F">
            <wp:extent cx="5469220" cy="4937173"/>
            <wp:effectExtent l="0" t="0" r="0" b="0"/>
            <wp:docPr id="14" name="Picture 14" descr="Figure 3.3 contains 5 columns of text listing ASIC’s strategic planning process. Column 1 lists Goals, Outputs, Inputs, Guiding questions, Consultation and Decision maker. ASIC’s strategic planning processes are set out across the top, these are: 1. Environmental assessment (Sep-Nov); 2. Priorities (Dec- Feb); 3. Business planning (Mar- May) and 4. Strategic communication and reporting (June-A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3.3 contains 5 columns of text listing ASIC’s strategic planning process. Column 1 lists Goals, Outputs, Inputs, Guiding questions, Consultation and Decision maker. ASIC’s strategic planning processes are set out across the top, these are: 1. Environmental assessment (Sep-Nov); 2. Priorities (Dec- Feb); 3. Business planning (Mar- May) and 4. Strategic communication and reporting (June-Au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469220" cy="4937173"/>
                    </a:xfrm>
                    <a:prstGeom prst="rect">
                      <a:avLst/>
                    </a:prstGeom>
                    <a:noFill/>
                  </pic:spPr>
                </pic:pic>
              </a:graphicData>
            </a:graphic>
          </wp:inline>
        </w:drawing>
      </w:r>
    </w:p>
    <w:p w14:paraId="407F44BD" w14:textId="00709BD1" w:rsidR="0056468D" w:rsidRPr="0056468D" w:rsidRDefault="0056468D" w:rsidP="008B1A30">
      <w:pPr>
        <w:ind w:left="567"/>
        <w:rPr>
          <w:sz w:val="18"/>
          <w:szCs w:val="16"/>
        </w:rPr>
      </w:pPr>
      <w:r w:rsidRPr="0056468D">
        <w:rPr>
          <w:sz w:val="18"/>
          <w:szCs w:val="16"/>
        </w:rPr>
        <w:t xml:space="preserve">Source: ASIC, </w:t>
      </w:r>
      <w:r w:rsidRPr="00D06C8F">
        <w:rPr>
          <w:sz w:val="18"/>
          <w:szCs w:val="16"/>
        </w:rPr>
        <w:t xml:space="preserve">Materials supplied to this </w:t>
      </w:r>
      <w:r w:rsidR="00FF1551" w:rsidRPr="00D06C8F">
        <w:rPr>
          <w:sz w:val="18"/>
          <w:szCs w:val="16"/>
        </w:rPr>
        <w:t>r</w:t>
      </w:r>
      <w:r w:rsidRPr="00D06C8F">
        <w:rPr>
          <w:sz w:val="18"/>
          <w:szCs w:val="16"/>
        </w:rPr>
        <w:t>eview</w:t>
      </w:r>
      <w:r w:rsidRPr="0056468D">
        <w:rPr>
          <w:sz w:val="18"/>
          <w:szCs w:val="16"/>
        </w:rPr>
        <w:t>, 2022.</w:t>
      </w:r>
    </w:p>
    <w:p w14:paraId="7EFB327B" w14:textId="07E091F7" w:rsidR="00E26C84" w:rsidRPr="00256677" w:rsidRDefault="00E26C84" w:rsidP="00975036">
      <w:pPr>
        <w:pStyle w:val="numberedtext"/>
        <w:numPr>
          <w:ilvl w:val="0"/>
          <w:numId w:val="19"/>
        </w:numPr>
        <w:ind w:left="573" w:hanging="573"/>
        <w:rPr>
          <w:rFonts w:cstheme="minorHAnsi"/>
        </w:rPr>
      </w:pPr>
      <w:r w:rsidRPr="00256677">
        <w:rPr>
          <w:rFonts w:cstheme="minorHAnsi"/>
        </w:rPr>
        <w:t>The strategic planning process begins with an environmental assessment to identify threats and harms to consumers and the regulated population</w:t>
      </w:r>
      <w:r w:rsidRPr="00256677" w:rsidDel="00D74CD3">
        <w:rPr>
          <w:rFonts w:cstheme="minorHAnsi"/>
        </w:rPr>
        <w:t>.</w:t>
      </w:r>
      <w:r w:rsidRPr="00256677">
        <w:rPr>
          <w:rFonts w:cstheme="minorHAnsi"/>
        </w:rPr>
        <w:t xml:space="preserve"> To do this, ASIC uses insights from its regulatory work and internal and external data sources, including from peer international </w:t>
      </w:r>
      <w:r w:rsidRPr="00256677">
        <w:rPr>
          <w:rFonts w:cstheme="minorHAnsi"/>
        </w:rPr>
        <w:lastRenderedPageBreak/>
        <w:t xml:space="preserve">regulators. Identified threats and harms are allocated a risk rating (likelihood and consequence) on </w:t>
      </w:r>
      <w:r w:rsidR="009274BA">
        <w:rPr>
          <w:rFonts w:cstheme="minorHAnsi"/>
        </w:rPr>
        <w:t>time horizons of</w:t>
      </w:r>
      <w:r w:rsidRPr="00256677">
        <w:rPr>
          <w:rFonts w:cstheme="minorHAnsi"/>
        </w:rPr>
        <w:t xml:space="preserve"> 0</w:t>
      </w:r>
      <w:r w:rsidR="00EF40B0">
        <w:rPr>
          <w:rFonts w:cstheme="minorHAnsi"/>
        </w:rPr>
        <w:noBreakHyphen/>
      </w:r>
      <w:r w:rsidRPr="00256677">
        <w:rPr>
          <w:rFonts w:cstheme="minorHAnsi"/>
        </w:rPr>
        <w:t>2 year</w:t>
      </w:r>
      <w:r w:rsidR="009274BA">
        <w:rPr>
          <w:rFonts w:cstheme="minorHAnsi"/>
        </w:rPr>
        <w:t xml:space="preserve">s </w:t>
      </w:r>
      <w:r w:rsidRPr="00256677">
        <w:rPr>
          <w:rFonts w:cstheme="minorHAnsi"/>
        </w:rPr>
        <w:t>and 3</w:t>
      </w:r>
      <w:r w:rsidR="00EF40B0">
        <w:rPr>
          <w:rFonts w:cstheme="minorHAnsi"/>
        </w:rPr>
        <w:noBreakHyphen/>
      </w:r>
      <w:r w:rsidRPr="00256677">
        <w:rPr>
          <w:rFonts w:cstheme="minorHAnsi"/>
        </w:rPr>
        <w:t>5 year</w:t>
      </w:r>
      <w:r w:rsidR="009274BA">
        <w:rPr>
          <w:rFonts w:cstheme="minorHAnsi"/>
        </w:rPr>
        <w:t>s</w:t>
      </w:r>
      <w:r w:rsidRPr="00256677">
        <w:rPr>
          <w:rFonts w:cstheme="minorHAnsi"/>
        </w:rPr>
        <w:t xml:space="preserve">. </w:t>
      </w:r>
    </w:p>
    <w:p w14:paraId="05CC83E9" w14:textId="664769C1" w:rsidR="00E26C84" w:rsidRPr="00256677" w:rsidRDefault="00E26C84" w:rsidP="00975036">
      <w:pPr>
        <w:pStyle w:val="numberedtext"/>
        <w:numPr>
          <w:ilvl w:val="0"/>
          <w:numId w:val="19"/>
        </w:numPr>
        <w:ind w:left="573" w:hanging="573"/>
        <w:rPr>
          <w:rFonts w:cstheme="minorHAnsi"/>
        </w:rPr>
      </w:pPr>
      <w:r w:rsidRPr="00256677">
        <w:rPr>
          <w:rFonts w:cstheme="minorHAnsi"/>
        </w:rPr>
        <w:t>ASIC consolidates identified threats and harms into a register for discussion with ASIC</w:t>
      </w:r>
      <w:r w:rsidR="00EF40B0">
        <w:rPr>
          <w:rFonts w:cstheme="minorHAnsi"/>
        </w:rPr>
        <w:t>’</w:t>
      </w:r>
      <w:r w:rsidRPr="00256677">
        <w:rPr>
          <w:rFonts w:cstheme="minorHAnsi"/>
        </w:rPr>
        <w:t>s commissioners and executive directors. ASIC shares this information and consults with APRA, the RBA, ASIC</w:t>
      </w:r>
      <w:r w:rsidR="00EF40B0">
        <w:rPr>
          <w:rFonts w:cstheme="minorHAnsi"/>
        </w:rPr>
        <w:t>’</w:t>
      </w:r>
      <w:r w:rsidRPr="00256677">
        <w:rPr>
          <w:rFonts w:cstheme="minorHAnsi"/>
        </w:rPr>
        <w:t xml:space="preserve">s Consumer Consultative Panel </w:t>
      </w:r>
      <w:r w:rsidR="0079040D">
        <w:rPr>
          <w:rFonts w:cstheme="minorHAnsi"/>
        </w:rPr>
        <w:t>(ACCP)</w:t>
      </w:r>
      <w:r w:rsidRPr="00256677">
        <w:rPr>
          <w:rFonts w:cstheme="minorHAnsi"/>
        </w:rPr>
        <w:t xml:space="preserve"> and ASIC</w:t>
      </w:r>
      <w:r w:rsidR="00EF40B0">
        <w:rPr>
          <w:rFonts w:cstheme="minorHAnsi"/>
        </w:rPr>
        <w:t>’</w:t>
      </w:r>
      <w:r w:rsidRPr="00256677">
        <w:rPr>
          <w:rFonts w:cstheme="minorHAnsi"/>
        </w:rPr>
        <w:t>s Consultative Panel to finalise its list of key threats and harms.</w:t>
      </w:r>
    </w:p>
    <w:p w14:paraId="11ED326D" w14:textId="44142F24" w:rsidR="00E26C84" w:rsidRPr="00256677" w:rsidRDefault="004C4B0B" w:rsidP="00975036">
      <w:pPr>
        <w:pStyle w:val="numberedtext"/>
        <w:numPr>
          <w:ilvl w:val="0"/>
          <w:numId w:val="19"/>
        </w:numPr>
        <w:ind w:left="573" w:hanging="573"/>
        <w:rPr>
          <w:rFonts w:cstheme="minorHAnsi"/>
        </w:rPr>
      </w:pPr>
      <w:r w:rsidRPr="00256677">
        <w:rPr>
          <w:rFonts w:cstheme="minorHAnsi"/>
        </w:rPr>
        <w:t>This list informs ASIC</w:t>
      </w:r>
      <w:r w:rsidR="00EF40B0">
        <w:rPr>
          <w:rFonts w:cstheme="minorHAnsi"/>
        </w:rPr>
        <w:t>’</w:t>
      </w:r>
      <w:r w:rsidRPr="00256677">
        <w:rPr>
          <w:rFonts w:cstheme="minorHAnsi"/>
        </w:rPr>
        <w:t>s strategic priorities.</w:t>
      </w:r>
      <w:r w:rsidR="00E26C84" w:rsidRPr="00256677">
        <w:rPr>
          <w:rFonts w:cstheme="minorHAnsi"/>
        </w:rPr>
        <w:t xml:space="preserve"> </w:t>
      </w:r>
      <w:r w:rsidR="000D21B0" w:rsidRPr="00256677">
        <w:rPr>
          <w:rFonts w:cstheme="minorHAnsi"/>
        </w:rPr>
        <w:t>The Commission develops draft strategic priorities, then seeks feedback from ASIC</w:t>
      </w:r>
      <w:r w:rsidR="00EF40B0">
        <w:rPr>
          <w:rFonts w:cstheme="minorHAnsi"/>
        </w:rPr>
        <w:t>’</w:t>
      </w:r>
      <w:r w:rsidR="000D21B0" w:rsidRPr="00256677">
        <w:rPr>
          <w:rFonts w:cstheme="minorHAnsi"/>
        </w:rPr>
        <w:t>s executive directors and</w:t>
      </w:r>
      <w:r w:rsidR="00E26C84" w:rsidRPr="00256677">
        <w:rPr>
          <w:rFonts w:cstheme="minorHAnsi"/>
        </w:rPr>
        <w:t xml:space="preserve"> the Treasury, with a view to finalising the strategic priorities ahead of the business planning process.</w:t>
      </w:r>
    </w:p>
    <w:p w14:paraId="53B43C97" w14:textId="50AAD672" w:rsidR="00E26C84" w:rsidRPr="00256677" w:rsidRDefault="00E26C84" w:rsidP="00975036">
      <w:pPr>
        <w:pStyle w:val="numberedtext"/>
        <w:numPr>
          <w:ilvl w:val="0"/>
          <w:numId w:val="19"/>
        </w:numPr>
        <w:ind w:left="573" w:hanging="573"/>
        <w:rPr>
          <w:rFonts w:cstheme="minorHAnsi"/>
        </w:rPr>
      </w:pPr>
      <w:r w:rsidRPr="00256677">
        <w:rPr>
          <w:rFonts w:cstheme="minorHAnsi"/>
        </w:rPr>
        <w:t xml:space="preserve">Executive directors are responsible for developing group </w:t>
      </w:r>
      <w:r w:rsidRPr="00256677" w:rsidDel="00E113C1">
        <w:rPr>
          <w:rFonts w:cstheme="minorHAnsi"/>
        </w:rPr>
        <w:t xml:space="preserve">business </w:t>
      </w:r>
      <w:r w:rsidRPr="00256677">
        <w:rPr>
          <w:rFonts w:cstheme="minorHAnsi"/>
        </w:rPr>
        <w:t>plans</w:t>
      </w:r>
      <w:r w:rsidR="00B909DD">
        <w:rPr>
          <w:rFonts w:cstheme="minorHAnsi"/>
        </w:rPr>
        <w:t>,</w:t>
      </w:r>
      <w:r w:rsidRPr="00256677">
        <w:rPr>
          <w:rFonts w:cstheme="minorHAnsi"/>
        </w:rPr>
        <w:t xml:space="preserve"> which outline the projects that address strategic priorities and business</w:t>
      </w:r>
      <w:r w:rsidR="00EF40B0">
        <w:rPr>
          <w:rFonts w:cstheme="minorHAnsi"/>
        </w:rPr>
        <w:noBreakHyphen/>
      </w:r>
      <w:r w:rsidRPr="00256677">
        <w:rPr>
          <w:rFonts w:cstheme="minorHAnsi"/>
        </w:rPr>
        <w:t>as</w:t>
      </w:r>
      <w:r w:rsidR="00EF40B0">
        <w:rPr>
          <w:rFonts w:cstheme="minorHAnsi"/>
        </w:rPr>
        <w:noBreakHyphen/>
      </w:r>
      <w:r w:rsidRPr="00256677">
        <w:rPr>
          <w:rFonts w:cstheme="minorHAnsi"/>
        </w:rPr>
        <w:t>usual activity. The business plans capture all dimensions of group activities, including resource allocations, cross</w:t>
      </w:r>
      <w:r w:rsidR="00EF40B0">
        <w:rPr>
          <w:rFonts w:cstheme="minorHAnsi"/>
        </w:rPr>
        <w:noBreakHyphen/>
      </w:r>
      <w:r w:rsidRPr="00256677">
        <w:rPr>
          <w:rFonts w:cstheme="minorHAnsi"/>
        </w:rPr>
        <w:t>group and cross</w:t>
      </w:r>
      <w:r w:rsidR="00EF40B0">
        <w:rPr>
          <w:rFonts w:cstheme="minorHAnsi"/>
        </w:rPr>
        <w:noBreakHyphen/>
      </w:r>
      <w:r w:rsidRPr="00256677">
        <w:rPr>
          <w:rFonts w:cstheme="minorHAnsi"/>
        </w:rPr>
        <w:t>agency dependencies and risk implications.</w:t>
      </w:r>
    </w:p>
    <w:p w14:paraId="44854126" w14:textId="54CF68F4" w:rsidR="00E26C84" w:rsidRPr="00256677" w:rsidRDefault="00E26C84" w:rsidP="00975036">
      <w:pPr>
        <w:pStyle w:val="numberedtext"/>
        <w:numPr>
          <w:ilvl w:val="0"/>
          <w:numId w:val="19"/>
        </w:numPr>
        <w:ind w:left="573" w:hanging="573"/>
        <w:rPr>
          <w:rFonts w:cstheme="minorHAnsi"/>
        </w:rPr>
      </w:pPr>
      <w:r w:rsidRPr="00256677">
        <w:rPr>
          <w:rFonts w:cstheme="minorHAnsi"/>
        </w:rPr>
        <w:t xml:space="preserve">The Commission approves business plans and the Executive Committee oversees </w:t>
      </w:r>
      <w:r w:rsidRPr="00256677" w:rsidDel="001877FB">
        <w:rPr>
          <w:rFonts w:cstheme="minorHAnsi"/>
        </w:rPr>
        <w:t xml:space="preserve">progress </w:t>
      </w:r>
      <w:r w:rsidRPr="00256677">
        <w:rPr>
          <w:rFonts w:cstheme="minorHAnsi"/>
        </w:rPr>
        <w:t xml:space="preserve">throughout the year. </w:t>
      </w:r>
      <w:r w:rsidR="004C4B0B" w:rsidRPr="00256677">
        <w:rPr>
          <w:rFonts w:cstheme="minorHAnsi"/>
        </w:rPr>
        <w:t>The Executive Committee uses StrategyDotZero, a platform to track and report on progress in executing projects and</w:t>
      </w:r>
      <w:r w:rsidRPr="00256677">
        <w:rPr>
          <w:rFonts w:cstheme="minorHAnsi"/>
        </w:rPr>
        <w:t xml:space="preserve"> key risks in each business plan.</w:t>
      </w:r>
    </w:p>
    <w:p w14:paraId="472135E8" w14:textId="70548B53" w:rsidR="00E26C84" w:rsidRPr="00256677" w:rsidRDefault="00E26C84" w:rsidP="00975036">
      <w:pPr>
        <w:pStyle w:val="numberedtext"/>
        <w:numPr>
          <w:ilvl w:val="0"/>
          <w:numId w:val="19"/>
        </w:numPr>
        <w:ind w:left="573" w:hanging="573"/>
        <w:rPr>
          <w:rFonts w:cstheme="minorHAnsi"/>
        </w:rPr>
      </w:pPr>
      <w:r w:rsidRPr="00256677">
        <w:rPr>
          <w:rFonts w:cstheme="minorHAnsi"/>
        </w:rPr>
        <w:t>ASIC tracks emerging threats and harms throughout the year</w:t>
      </w:r>
      <w:r w:rsidR="00B909DD">
        <w:rPr>
          <w:rFonts w:cstheme="minorHAnsi"/>
        </w:rPr>
        <w:t>,</w:t>
      </w:r>
      <w:r w:rsidRPr="00256677">
        <w:rPr>
          <w:rFonts w:cstheme="minorHAnsi"/>
        </w:rPr>
        <w:t xml:space="preserve"> including issues at the edge of the regulatory perimeter</w:t>
      </w:r>
      <w:r w:rsidR="00B909DD">
        <w:rPr>
          <w:rFonts w:cstheme="minorHAnsi"/>
        </w:rPr>
        <w:t>,</w:t>
      </w:r>
      <w:r w:rsidRPr="00256677">
        <w:rPr>
          <w:rFonts w:cstheme="minorHAnsi"/>
        </w:rPr>
        <w:t xml:space="preserve"> at meetings of the Emerging Threats and Harms Committee. ASIC</w:t>
      </w:r>
      <w:r w:rsidR="00EF40B0">
        <w:rPr>
          <w:rFonts w:cstheme="minorHAnsi"/>
        </w:rPr>
        <w:t>’</w:t>
      </w:r>
      <w:r w:rsidRPr="00256677">
        <w:rPr>
          <w:rFonts w:cstheme="minorHAnsi"/>
        </w:rPr>
        <w:t xml:space="preserve">s internal committee structure described at paragraph </w:t>
      </w:r>
      <w:r w:rsidR="00A6032A">
        <w:rPr>
          <w:rFonts w:cstheme="minorHAnsi"/>
        </w:rPr>
        <w:t>3.14</w:t>
      </w:r>
      <w:r w:rsidR="00840E20">
        <w:rPr>
          <w:rFonts w:cstheme="minorHAnsi"/>
        </w:rPr>
        <w:t xml:space="preserve"> </w:t>
      </w:r>
      <w:r w:rsidRPr="00256677">
        <w:rPr>
          <w:rFonts w:cstheme="minorHAnsi"/>
        </w:rPr>
        <w:t>helps ASIC maintain flexibility in adapting and responding to developments in its operating environment outside the formal strategic planning phases. ASIC</w:t>
      </w:r>
      <w:r w:rsidR="00EF40B0">
        <w:rPr>
          <w:rFonts w:cstheme="minorHAnsi"/>
        </w:rPr>
        <w:t>’</w:t>
      </w:r>
      <w:r w:rsidRPr="00256677">
        <w:rPr>
          <w:rFonts w:cstheme="minorHAnsi"/>
        </w:rPr>
        <w:t>s internal committees may consider changes to group activities and business plans. Any significant change to a group</w:t>
      </w:r>
      <w:r w:rsidR="00EF40B0">
        <w:rPr>
          <w:rFonts w:cstheme="minorHAnsi"/>
        </w:rPr>
        <w:t>’</w:t>
      </w:r>
      <w:r w:rsidRPr="00256677">
        <w:rPr>
          <w:rFonts w:cstheme="minorHAnsi"/>
        </w:rPr>
        <w:t xml:space="preserve">s business plan is escalated to the Commission for approval. </w:t>
      </w:r>
    </w:p>
    <w:p w14:paraId="601DDCB9" w14:textId="26F0757D" w:rsidR="00E26C84" w:rsidRPr="00256677" w:rsidRDefault="00E26C84" w:rsidP="00975036">
      <w:pPr>
        <w:pStyle w:val="numberedtext"/>
        <w:numPr>
          <w:ilvl w:val="0"/>
          <w:numId w:val="19"/>
        </w:numPr>
        <w:ind w:left="573" w:hanging="573"/>
        <w:rPr>
          <w:rFonts w:cstheme="minorHAnsi"/>
        </w:rPr>
      </w:pPr>
      <w:r w:rsidRPr="00256677">
        <w:rPr>
          <w:rFonts w:cstheme="minorHAnsi"/>
        </w:rPr>
        <w:t>ASIC conducts whole</w:t>
      </w:r>
      <w:r w:rsidR="00EF40B0">
        <w:rPr>
          <w:rFonts w:cstheme="minorHAnsi"/>
        </w:rPr>
        <w:noBreakHyphen/>
      </w:r>
      <w:r w:rsidRPr="00256677">
        <w:rPr>
          <w:rFonts w:cstheme="minorHAnsi"/>
        </w:rPr>
        <w:t>of</w:t>
      </w:r>
      <w:r w:rsidR="00EF40B0">
        <w:rPr>
          <w:rFonts w:cstheme="minorHAnsi"/>
        </w:rPr>
        <w:noBreakHyphen/>
      </w:r>
      <w:r w:rsidRPr="00256677">
        <w:rPr>
          <w:rFonts w:cstheme="minorHAnsi"/>
        </w:rPr>
        <w:t>organisation risk assessments every 4 months to identify issues or events that may affect its ability to deliver on priorities and objectives. ASIC seeks to manage material risks in line with the Commission</w:t>
      </w:r>
      <w:r w:rsidR="00EF40B0">
        <w:rPr>
          <w:rFonts w:cstheme="minorHAnsi"/>
        </w:rPr>
        <w:noBreakHyphen/>
      </w:r>
      <w:r w:rsidRPr="00256677">
        <w:rPr>
          <w:rFonts w:cstheme="minorHAnsi"/>
        </w:rPr>
        <w:t>approved risk appetite and mitigate risks that are outside of tolerance.</w:t>
      </w:r>
    </w:p>
    <w:p w14:paraId="74A97E12" w14:textId="04CFC0FE" w:rsidR="004C4B0B" w:rsidRPr="00256677" w:rsidRDefault="004C4B0B" w:rsidP="00975036">
      <w:pPr>
        <w:pStyle w:val="numberedtext"/>
        <w:numPr>
          <w:ilvl w:val="0"/>
          <w:numId w:val="19"/>
        </w:numPr>
        <w:ind w:left="573" w:hanging="573"/>
        <w:rPr>
          <w:rFonts w:cstheme="minorHAnsi"/>
        </w:rPr>
      </w:pPr>
      <w:r w:rsidRPr="00256677">
        <w:rPr>
          <w:rFonts w:cstheme="minorHAnsi"/>
        </w:rPr>
        <w:t>ASIC communicates its strategic priorities and planned activities to the public through its Corporate Plan and reports on its performance through its Annual Report. The Annual Performance Statement, included within the Annual Report, summarises and self</w:t>
      </w:r>
      <w:r w:rsidR="00EF40B0">
        <w:rPr>
          <w:rFonts w:cstheme="minorHAnsi"/>
        </w:rPr>
        <w:noBreakHyphen/>
      </w:r>
      <w:r w:rsidRPr="00256677">
        <w:rPr>
          <w:rFonts w:cstheme="minorHAnsi"/>
        </w:rPr>
        <w:t xml:space="preserve">evaluates how ASIC pursued its priorities. Throughout the year ASIC publishes regular updates and reports on its recent activity </w:t>
      </w:r>
      <w:r w:rsidR="00056337">
        <w:rPr>
          <w:rFonts w:cstheme="minorHAnsi"/>
        </w:rPr>
        <w:t>through</w:t>
      </w:r>
      <w:r w:rsidRPr="00256677">
        <w:rPr>
          <w:rFonts w:cstheme="minorHAnsi"/>
        </w:rPr>
        <w:t xml:space="preserve"> media releases</w:t>
      </w:r>
      <w:r w:rsidR="004E697E">
        <w:rPr>
          <w:rFonts w:cstheme="minorHAnsi"/>
        </w:rPr>
        <w:t xml:space="preserve">, </w:t>
      </w:r>
      <w:r w:rsidRPr="00256677">
        <w:rPr>
          <w:rFonts w:cstheme="minorHAnsi"/>
        </w:rPr>
        <w:t>social media posts, articles, sectoral newsletters and speeches.</w:t>
      </w:r>
    </w:p>
    <w:p w14:paraId="255662B7" w14:textId="6EB1DFAD" w:rsidR="00E26C84" w:rsidRPr="00F475DC" w:rsidRDefault="00E26C84" w:rsidP="004C4B0B">
      <w:pPr>
        <w:pStyle w:val="Heading3"/>
        <w:spacing w:line="259" w:lineRule="auto"/>
      </w:pPr>
      <w:bookmarkStart w:id="78" w:name="_Toc108786433"/>
      <w:r w:rsidRPr="00F475DC">
        <w:t>Decision</w:t>
      </w:r>
      <w:r w:rsidR="00EF40B0">
        <w:noBreakHyphen/>
      </w:r>
      <w:r w:rsidRPr="00F475DC">
        <w:t>making</w:t>
      </w:r>
      <w:bookmarkEnd w:id="78"/>
    </w:p>
    <w:p w14:paraId="7E15C8CA" w14:textId="6F5BCB03" w:rsidR="004C4B0B" w:rsidRPr="00256677" w:rsidRDefault="004C4B0B" w:rsidP="00975036">
      <w:pPr>
        <w:pStyle w:val="numberedtext"/>
        <w:numPr>
          <w:ilvl w:val="0"/>
          <w:numId w:val="19"/>
        </w:numPr>
        <w:ind w:left="573" w:hanging="573"/>
        <w:rPr>
          <w:rFonts w:cstheme="minorHAnsi"/>
        </w:rPr>
      </w:pPr>
      <w:r w:rsidRPr="00256677">
        <w:rPr>
          <w:rFonts w:cstheme="minorHAnsi"/>
        </w:rPr>
        <w:t>ASIC</w:t>
      </w:r>
      <w:r w:rsidR="00EF40B0">
        <w:rPr>
          <w:rFonts w:cstheme="minorHAnsi"/>
        </w:rPr>
        <w:t>’</w:t>
      </w:r>
      <w:r w:rsidRPr="00256677">
        <w:rPr>
          <w:rFonts w:cstheme="minorHAnsi"/>
        </w:rPr>
        <w:t>s decision</w:t>
      </w:r>
      <w:r w:rsidR="00EF40B0">
        <w:rPr>
          <w:rFonts w:cstheme="minorHAnsi"/>
        </w:rPr>
        <w:noBreakHyphen/>
      </w:r>
      <w:r w:rsidRPr="00256677">
        <w:rPr>
          <w:rFonts w:cstheme="minorHAnsi"/>
        </w:rPr>
        <w:t>making process establishes the organisation</w:t>
      </w:r>
      <w:r w:rsidR="00EF40B0">
        <w:rPr>
          <w:rFonts w:cstheme="minorHAnsi"/>
        </w:rPr>
        <w:t>’</w:t>
      </w:r>
      <w:r w:rsidRPr="00256677">
        <w:rPr>
          <w:rFonts w:cstheme="minorHAnsi"/>
        </w:rPr>
        <w:t>s position on strategic and regulatory matters and determines the organisation</w:t>
      </w:r>
      <w:r w:rsidR="00EF40B0">
        <w:rPr>
          <w:rFonts w:cstheme="minorHAnsi"/>
        </w:rPr>
        <w:t>’</w:t>
      </w:r>
      <w:r w:rsidRPr="00256677">
        <w:rPr>
          <w:rFonts w:cstheme="minorHAnsi"/>
        </w:rPr>
        <w:t>s direction and progress. It is fundamental to the effective and capable delivery of ASIC</w:t>
      </w:r>
      <w:r w:rsidR="00EF40B0">
        <w:rPr>
          <w:rFonts w:cstheme="minorHAnsi"/>
        </w:rPr>
        <w:t>’</w:t>
      </w:r>
      <w:r w:rsidRPr="00256677">
        <w:rPr>
          <w:rFonts w:cstheme="minorHAnsi"/>
        </w:rPr>
        <w:t xml:space="preserve">s strategy. </w:t>
      </w:r>
    </w:p>
    <w:p w14:paraId="24C4E412" w14:textId="4AF938CD" w:rsidR="00E26C84" w:rsidRPr="00256677" w:rsidRDefault="00E26C84" w:rsidP="00975036">
      <w:pPr>
        <w:pStyle w:val="numberedtext"/>
        <w:numPr>
          <w:ilvl w:val="0"/>
          <w:numId w:val="19"/>
        </w:numPr>
        <w:ind w:left="573" w:hanging="573"/>
        <w:rPr>
          <w:rFonts w:cstheme="minorHAnsi"/>
        </w:rPr>
      </w:pPr>
      <w:r w:rsidRPr="00256677">
        <w:rPr>
          <w:rFonts w:cstheme="minorHAnsi"/>
        </w:rPr>
        <w:t>ASIC</w:t>
      </w:r>
      <w:r w:rsidR="00EF40B0">
        <w:rPr>
          <w:rFonts w:cstheme="minorHAnsi"/>
        </w:rPr>
        <w:t>’</w:t>
      </w:r>
      <w:r w:rsidRPr="00256677">
        <w:rPr>
          <w:rFonts w:cstheme="minorHAnsi"/>
        </w:rPr>
        <w:t>s decision</w:t>
      </w:r>
      <w:r w:rsidR="00EF40B0">
        <w:rPr>
          <w:rFonts w:cstheme="minorHAnsi"/>
        </w:rPr>
        <w:noBreakHyphen/>
      </w:r>
      <w:r w:rsidRPr="00256677">
        <w:rPr>
          <w:rFonts w:cstheme="minorHAnsi"/>
        </w:rPr>
        <w:t>making process is guided by ASIC</w:t>
      </w:r>
      <w:r w:rsidR="00EF40B0">
        <w:rPr>
          <w:rFonts w:cstheme="minorHAnsi"/>
        </w:rPr>
        <w:t>’</w:t>
      </w:r>
      <w:r w:rsidRPr="00256677">
        <w:rPr>
          <w:rFonts w:cstheme="minorHAnsi"/>
        </w:rPr>
        <w:t>s Governance and Accountability Framework</w:t>
      </w:r>
      <w:r w:rsidR="004C4B0B" w:rsidRPr="00256677">
        <w:rPr>
          <w:rFonts w:cstheme="minorHAnsi"/>
        </w:rPr>
        <w:t>, which</w:t>
      </w:r>
      <w:r w:rsidRPr="00256677">
        <w:rPr>
          <w:rFonts w:cstheme="minorHAnsi"/>
        </w:rPr>
        <w:t xml:space="preserve"> describes the responsibilities of ASIC</w:t>
      </w:r>
      <w:r w:rsidR="00EF40B0">
        <w:rPr>
          <w:rFonts w:cstheme="minorHAnsi"/>
        </w:rPr>
        <w:t>’</w:t>
      </w:r>
      <w:r w:rsidRPr="00256677">
        <w:rPr>
          <w:rFonts w:cstheme="minorHAnsi"/>
        </w:rPr>
        <w:t xml:space="preserve">s leadership and committees and </w:t>
      </w:r>
      <w:r w:rsidR="004C4B0B" w:rsidRPr="00256677">
        <w:rPr>
          <w:rFonts w:cstheme="minorHAnsi"/>
        </w:rPr>
        <w:t>the accountability for decision</w:t>
      </w:r>
      <w:r w:rsidR="00552559">
        <w:rPr>
          <w:rFonts w:cstheme="minorHAnsi"/>
        </w:rPr>
        <w:t>-</w:t>
      </w:r>
      <w:r w:rsidR="004C4B0B" w:rsidRPr="00256677">
        <w:rPr>
          <w:rFonts w:cstheme="minorHAnsi"/>
        </w:rPr>
        <w:t>making</w:t>
      </w:r>
      <w:r w:rsidR="001A1CBE">
        <w:rPr>
          <w:rFonts w:cstheme="minorHAnsi"/>
        </w:rPr>
        <w:t xml:space="preserve">. </w:t>
      </w:r>
    </w:p>
    <w:p w14:paraId="306E5597" w14:textId="2C0DA811" w:rsidR="00E26C84" w:rsidRPr="00256677" w:rsidRDefault="00E26C84" w:rsidP="00975036">
      <w:pPr>
        <w:pStyle w:val="numberedtext"/>
        <w:numPr>
          <w:ilvl w:val="0"/>
          <w:numId w:val="19"/>
        </w:numPr>
        <w:ind w:left="573" w:hanging="573"/>
        <w:rPr>
          <w:rFonts w:cstheme="minorHAnsi"/>
        </w:rPr>
      </w:pPr>
      <w:r w:rsidRPr="00256677">
        <w:rPr>
          <w:rFonts w:cstheme="minorHAnsi"/>
        </w:rPr>
        <w:t xml:space="preserve">The Governance and Accountability Framework notes that strategic and/or significant regulatory matters are reserved for the Commission and the </w:t>
      </w:r>
      <w:r w:rsidR="004B456C">
        <w:rPr>
          <w:rFonts w:cstheme="minorHAnsi"/>
        </w:rPr>
        <w:t>C</w:t>
      </w:r>
      <w:r w:rsidRPr="00256677">
        <w:rPr>
          <w:rFonts w:cstheme="minorHAnsi"/>
        </w:rPr>
        <w:t>hair as Accountable Authority. The Commission makes statutory decisions in Commission meetings. Where possible, the Commission has delegated its statutory powers and functions to staff members. Decisions</w:t>
      </w:r>
      <w:r w:rsidRPr="005F2B38">
        <w:t xml:space="preserve"> </w:t>
      </w:r>
      <w:r w:rsidRPr="00256677">
        <w:rPr>
          <w:rFonts w:cstheme="minorHAnsi"/>
        </w:rPr>
        <w:t xml:space="preserve">relating to strategic and/or significant enforcement, regulatory or risk matters are made in the relevant Commission </w:t>
      </w:r>
      <w:r w:rsidR="004B456C">
        <w:rPr>
          <w:rFonts w:cstheme="minorHAnsi"/>
        </w:rPr>
        <w:t>c</w:t>
      </w:r>
      <w:r w:rsidRPr="00256677">
        <w:rPr>
          <w:rFonts w:cstheme="minorHAnsi"/>
        </w:rPr>
        <w:t>ommittee meetings</w:t>
      </w:r>
      <w:r w:rsidR="001A1CBE">
        <w:rPr>
          <w:rFonts w:cstheme="minorHAnsi"/>
        </w:rPr>
        <w:t xml:space="preserve">. </w:t>
      </w:r>
    </w:p>
    <w:p w14:paraId="13D64D89" w14:textId="52A9070B" w:rsidR="00E26C84" w:rsidRPr="00256677" w:rsidRDefault="004C4B0B" w:rsidP="00975036">
      <w:pPr>
        <w:pStyle w:val="numberedtext"/>
        <w:numPr>
          <w:ilvl w:val="0"/>
          <w:numId w:val="19"/>
        </w:numPr>
        <w:ind w:left="573" w:hanging="573"/>
        <w:rPr>
          <w:rFonts w:cstheme="minorHAnsi"/>
        </w:rPr>
      </w:pPr>
      <w:r w:rsidRPr="00256677">
        <w:rPr>
          <w:rFonts w:cstheme="minorHAnsi"/>
        </w:rPr>
        <w:lastRenderedPageBreak/>
        <w:t xml:space="preserve">The </w:t>
      </w:r>
      <w:r w:rsidR="009274BA">
        <w:rPr>
          <w:rFonts w:cstheme="minorHAnsi"/>
        </w:rPr>
        <w:t>Chief Operating Officer</w:t>
      </w:r>
      <w:r w:rsidR="000D21B0" w:rsidRPr="00256677">
        <w:rPr>
          <w:rFonts w:cstheme="minorHAnsi"/>
        </w:rPr>
        <w:t xml:space="preserve"> is responsible for non</w:t>
      </w:r>
      <w:r w:rsidR="00EF40B0">
        <w:rPr>
          <w:rFonts w:cstheme="minorHAnsi"/>
        </w:rPr>
        <w:noBreakHyphen/>
      </w:r>
      <w:r w:rsidR="000D21B0" w:rsidRPr="00256677">
        <w:rPr>
          <w:rFonts w:cstheme="minorHAnsi"/>
        </w:rPr>
        <w:t>regulatory decision</w:t>
      </w:r>
      <w:r w:rsidR="00EF40B0">
        <w:rPr>
          <w:rFonts w:cstheme="minorHAnsi"/>
        </w:rPr>
        <w:noBreakHyphen/>
      </w:r>
      <w:r w:rsidR="000D21B0" w:rsidRPr="00256677">
        <w:rPr>
          <w:rFonts w:cstheme="minorHAnsi"/>
        </w:rPr>
        <w:t xml:space="preserve">making and is accountable to the </w:t>
      </w:r>
      <w:r w:rsidR="008209FE">
        <w:rPr>
          <w:rFonts w:cstheme="minorHAnsi"/>
        </w:rPr>
        <w:t>C</w:t>
      </w:r>
      <w:r w:rsidRPr="00256677">
        <w:rPr>
          <w:rFonts w:cstheme="minorHAnsi"/>
        </w:rPr>
        <w:t>hair</w:t>
      </w:r>
      <w:r w:rsidR="000D21B0" w:rsidRPr="00256677">
        <w:rPr>
          <w:rFonts w:cstheme="minorHAnsi"/>
        </w:rPr>
        <w:t xml:space="preserve"> and the Commission for the operational performance of ASIC</w:t>
      </w:r>
      <w:r w:rsidR="001A1CBE">
        <w:rPr>
          <w:rFonts w:cstheme="minorHAnsi"/>
        </w:rPr>
        <w:t xml:space="preserve">. </w:t>
      </w:r>
      <w:r w:rsidR="00E26C84" w:rsidRPr="00256677">
        <w:rPr>
          <w:rFonts w:cstheme="minorHAnsi"/>
        </w:rPr>
        <w:t xml:space="preserve">Executive directors are responsible </w:t>
      </w:r>
      <w:r w:rsidR="000D21B0" w:rsidRPr="00256677">
        <w:rPr>
          <w:rFonts w:cstheme="minorHAnsi"/>
        </w:rPr>
        <w:t xml:space="preserve">with the </w:t>
      </w:r>
      <w:r w:rsidR="009274BA">
        <w:rPr>
          <w:rFonts w:cstheme="minorHAnsi"/>
        </w:rPr>
        <w:t>Chief Operating Officer</w:t>
      </w:r>
      <w:r w:rsidR="000D21B0" w:rsidRPr="00256677">
        <w:rPr>
          <w:rFonts w:cstheme="minorHAnsi"/>
        </w:rPr>
        <w:t xml:space="preserve"> for the delivery of the strategy set by the Commission and for the day</w:t>
      </w:r>
      <w:r w:rsidR="00EF40B0">
        <w:rPr>
          <w:rFonts w:cstheme="minorHAnsi"/>
        </w:rPr>
        <w:noBreakHyphen/>
      </w:r>
      <w:r w:rsidR="000D21B0" w:rsidRPr="00256677">
        <w:rPr>
          <w:rFonts w:cstheme="minorHAnsi"/>
        </w:rPr>
        <w:t>to</w:t>
      </w:r>
      <w:r w:rsidR="00EF40B0">
        <w:rPr>
          <w:rFonts w:cstheme="minorHAnsi"/>
        </w:rPr>
        <w:noBreakHyphen/>
      </w:r>
      <w:r w:rsidR="000D21B0" w:rsidRPr="00256677">
        <w:rPr>
          <w:rFonts w:cstheme="minorHAnsi"/>
        </w:rPr>
        <w:t xml:space="preserve">day regulatory and enforcement decisions within their area of responsibility. Executive directors are responsible </w:t>
      </w:r>
      <w:r w:rsidR="00E26C84" w:rsidRPr="00256677">
        <w:rPr>
          <w:rFonts w:cstheme="minorHAnsi"/>
        </w:rPr>
        <w:t>for day</w:t>
      </w:r>
      <w:r w:rsidR="00EF40B0">
        <w:rPr>
          <w:rFonts w:cstheme="minorHAnsi"/>
        </w:rPr>
        <w:noBreakHyphen/>
      </w:r>
      <w:r w:rsidR="00E26C84" w:rsidRPr="00256677">
        <w:rPr>
          <w:rFonts w:cstheme="minorHAnsi"/>
        </w:rPr>
        <w:t>to</w:t>
      </w:r>
      <w:r w:rsidR="00EF40B0">
        <w:rPr>
          <w:rFonts w:cstheme="minorHAnsi"/>
        </w:rPr>
        <w:noBreakHyphen/>
      </w:r>
      <w:r w:rsidR="00E26C84" w:rsidRPr="00256677">
        <w:rPr>
          <w:rFonts w:cstheme="minorHAnsi"/>
        </w:rPr>
        <w:t xml:space="preserve">day organisational matters or those delegated by the </w:t>
      </w:r>
      <w:r w:rsidR="008209FE">
        <w:rPr>
          <w:rFonts w:cstheme="minorHAnsi"/>
        </w:rPr>
        <w:t>C</w:t>
      </w:r>
      <w:r w:rsidR="00E26C84" w:rsidRPr="00256677">
        <w:rPr>
          <w:rFonts w:cstheme="minorHAnsi"/>
        </w:rPr>
        <w:t xml:space="preserve">hair or the Commission. Executive </w:t>
      </w:r>
      <w:r w:rsidR="000D21B0" w:rsidRPr="00256677">
        <w:rPr>
          <w:rFonts w:cstheme="minorHAnsi"/>
        </w:rPr>
        <w:t>directors</w:t>
      </w:r>
      <w:r w:rsidR="00E26C84" w:rsidRPr="00256677">
        <w:rPr>
          <w:rFonts w:cstheme="minorHAnsi"/>
        </w:rPr>
        <w:t xml:space="preserve"> escalate decisions to the Commission on strategic and/or significant enforcement, regulatory or risk matters. </w:t>
      </w:r>
    </w:p>
    <w:p w14:paraId="1F6945C8" w14:textId="457E7F02" w:rsidR="00E26C84" w:rsidRPr="00A6128A" w:rsidRDefault="00E26C84" w:rsidP="00F475DC">
      <w:pPr>
        <w:pStyle w:val="Heading2"/>
        <w:rPr>
          <w:rFonts w:eastAsiaTheme="minorHAnsi" w:cstheme="minorHAnsi"/>
          <w:szCs w:val="36"/>
        </w:rPr>
      </w:pPr>
      <w:bookmarkStart w:id="79" w:name="_Toc110241823"/>
      <w:r w:rsidRPr="006A53D6">
        <w:rPr>
          <w:rFonts w:asciiTheme="minorHAnsi" w:eastAsiaTheme="minorHAnsi" w:hAnsiTheme="minorHAnsi" w:cstheme="minorHAnsi"/>
          <w:szCs w:val="36"/>
        </w:rPr>
        <w:t>E</w:t>
      </w:r>
      <w:r w:rsidRPr="00A6128A">
        <w:rPr>
          <w:rFonts w:eastAsiaTheme="minorHAnsi" w:cstheme="minorHAnsi"/>
          <w:szCs w:val="36"/>
        </w:rPr>
        <w:t>ffectiveness and capability of ASIC</w:t>
      </w:r>
      <w:r w:rsidR="00EF40B0">
        <w:rPr>
          <w:rFonts w:eastAsiaTheme="minorHAnsi" w:cstheme="minorHAnsi"/>
          <w:szCs w:val="36"/>
        </w:rPr>
        <w:t>’</w:t>
      </w:r>
      <w:r w:rsidRPr="00A6128A">
        <w:rPr>
          <w:rFonts w:eastAsiaTheme="minorHAnsi" w:cstheme="minorHAnsi"/>
          <w:szCs w:val="36"/>
        </w:rPr>
        <w:t>s strategic prioritisation, planning and decision</w:t>
      </w:r>
      <w:r w:rsidR="00EF40B0">
        <w:rPr>
          <w:rFonts w:eastAsiaTheme="minorHAnsi" w:cstheme="minorHAnsi"/>
          <w:szCs w:val="36"/>
        </w:rPr>
        <w:noBreakHyphen/>
      </w:r>
      <w:r w:rsidRPr="00A6128A">
        <w:rPr>
          <w:rFonts w:eastAsiaTheme="minorHAnsi" w:cstheme="minorHAnsi"/>
          <w:szCs w:val="36"/>
        </w:rPr>
        <w:t>making</w:t>
      </w:r>
      <w:bookmarkEnd w:id="79"/>
    </w:p>
    <w:p w14:paraId="24A6C84C" w14:textId="561D404C" w:rsidR="00E26C84" w:rsidRPr="00256677" w:rsidRDefault="00E26C84" w:rsidP="00975036">
      <w:pPr>
        <w:pStyle w:val="numberedtext"/>
        <w:numPr>
          <w:ilvl w:val="0"/>
          <w:numId w:val="19"/>
        </w:numPr>
        <w:ind w:left="573" w:hanging="573"/>
        <w:rPr>
          <w:rFonts w:cstheme="minorHAnsi"/>
        </w:rPr>
      </w:pPr>
      <w:r w:rsidRPr="00256677">
        <w:rPr>
          <w:rFonts w:cstheme="minorHAnsi"/>
        </w:rPr>
        <w:t xml:space="preserve">This section outlines the feedback </w:t>
      </w:r>
      <w:r w:rsidR="00AF4099">
        <w:rPr>
          <w:rFonts w:cstheme="minorHAnsi"/>
        </w:rPr>
        <w:t xml:space="preserve">the FRAA </w:t>
      </w:r>
      <w:r w:rsidRPr="00256677">
        <w:rPr>
          <w:rFonts w:cstheme="minorHAnsi"/>
        </w:rPr>
        <w:t xml:space="preserve">received </w:t>
      </w:r>
      <w:r w:rsidR="00AF4099">
        <w:rPr>
          <w:rFonts w:cstheme="minorHAnsi"/>
        </w:rPr>
        <w:t>from stakeholders</w:t>
      </w:r>
      <w:r w:rsidRPr="00256677">
        <w:rPr>
          <w:rFonts w:cstheme="minorHAnsi"/>
        </w:rPr>
        <w:t xml:space="preserve">. </w:t>
      </w:r>
      <w:r w:rsidR="004C4B0B" w:rsidRPr="00256677">
        <w:rPr>
          <w:rFonts w:cstheme="minorHAnsi"/>
        </w:rPr>
        <w:t>ASIC staff, consumer advocacy bodies</w:t>
      </w:r>
      <w:r w:rsidRPr="00256677">
        <w:rPr>
          <w:rFonts w:cstheme="minorHAnsi"/>
        </w:rPr>
        <w:t xml:space="preserve"> and industry stakeholders noted positives as well as opportunities to improve the effectiveness and capability of ASIC</w:t>
      </w:r>
      <w:r w:rsidR="00EF40B0">
        <w:rPr>
          <w:rFonts w:cstheme="minorHAnsi"/>
        </w:rPr>
        <w:t>’</w:t>
      </w:r>
      <w:r w:rsidRPr="00256677">
        <w:rPr>
          <w:rFonts w:cstheme="minorHAnsi"/>
        </w:rPr>
        <w:t>s strategic prioritisation, planning and decision</w:t>
      </w:r>
      <w:r w:rsidR="00EF40B0">
        <w:rPr>
          <w:rFonts w:cstheme="minorHAnsi"/>
        </w:rPr>
        <w:noBreakHyphen/>
      </w:r>
      <w:r w:rsidRPr="00256677">
        <w:rPr>
          <w:rFonts w:cstheme="minorHAnsi"/>
        </w:rPr>
        <w:t xml:space="preserve">making processes. </w:t>
      </w:r>
    </w:p>
    <w:p w14:paraId="2D5EDFC1" w14:textId="77777777" w:rsidR="00E26C84" w:rsidRPr="00F475DC" w:rsidRDefault="00E26C84" w:rsidP="004C4B0B">
      <w:pPr>
        <w:pStyle w:val="Heading3"/>
        <w:spacing w:line="259" w:lineRule="auto"/>
      </w:pPr>
      <w:bookmarkStart w:id="80" w:name="_Toc108786435"/>
      <w:r w:rsidRPr="00F475DC">
        <w:t>Efficiency</w:t>
      </w:r>
      <w:bookmarkEnd w:id="80"/>
      <w:r w:rsidRPr="00F475DC">
        <w:t xml:space="preserve"> </w:t>
      </w:r>
    </w:p>
    <w:p w14:paraId="2BBAC848" w14:textId="77777777" w:rsidR="00E26C84" w:rsidRPr="000D21B0" w:rsidRDefault="00E26C84" w:rsidP="004C4B0B">
      <w:pPr>
        <w:pStyle w:val="Heading4"/>
        <w:rPr>
          <w:rFonts w:ascii="Calibri Light" w:eastAsia="Yu Gothic Light" w:hAnsi="Calibri Light"/>
          <w:i/>
          <w:color w:val="2F5496"/>
          <w:lang w:eastAsia="en-US"/>
        </w:rPr>
      </w:pPr>
      <w:r w:rsidRPr="00391F0C">
        <w:rPr>
          <w:rFonts w:eastAsia="Yu Gothic Light"/>
        </w:rPr>
        <w:t>Processes in place</w:t>
      </w:r>
    </w:p>
    <w:p w14:paraId="37A22B7A" w14:textId="1AE46A16" w:rsidR="00E26C84" w:rsidRPr="00F67579" w:rsidRDefault="00A5277C" w:rsidP="00975036">
      <w:pPr>
        <w:pStyle w:val="numberedtext"/>
        <w:numPr>
          <w:ilvl w:val="0"/>
          <w:numId w:val="19"/>
        </w:numPr>
        <w:ind w:left="573" w:hanging="573"/>
        <w:rPr>
          <w:rFonts w:cstheme="minorHAnsi"/>
        </w:rPr>
      </w:pPr>
      <w:r>
        <w:rPr>
          <w:rFonts w:cstheme="minorHAnsi"/>
        </w:rPr>
        <w:t xml:space="preserve">This </w:t>
      </w:r>
      <w:r w:rsidR="00FF1551">
        <w:rPr>
          <w:rFonts w:cstheme="minorHAnsi"/>
        </w:rPr>
        <w:t>r</w:t>
      </w:r>
      <w:r>
        <w:rPr>
          <w:rFonts w:cstheme="minorHAnsi"/>
        </w:rPr>
        <w:t xml:space="preserve">eview has not </w:t>
      </w:r>
      <w:r w:rsidR="0025321E">
        <w:rPr>
          <w:rFonts w:cstheme="minorHAnsi"/>
        </w:rPr>
        <w:t xml:space="preserve">identified </w:t>
      </w:r>
      <w:r w:rsidR="00862249">
        <w:rPr>
          <w:rFonts w:cstheme="minorHAnsi"/>
        </w:rPr>
        <w:t xml:space="preserve">evidence to suggest that </w:t>
      </w:r>
      <w:r w:rsidR="00E26C84" w:rsidRPr="00F67579">
        <w:rPr>
          <w:rFonts w:cstheme="minorHAnsi"/>
        </w:rPr>
        <w:t>ASIC</w:t>
      </w:r>
      <w:r w:rsidR="00EF40B0">
        <w:rPr>
          <w:rFonts w:cstheme="minorHAnsi"/>
        </w:rPr>
        <w:t>’</w:t>
      </w:r>
      <w:r w:rsidR="00E26C84" w:rsidRPr="00F67579">
        <w:rPr>
          <w:rFonts w:cstheme="minorHAnsi"/>
        </w:rPr>
        <w:t>s strategic prioritisation, planning and decision</w:t>
      </w:r>
      <w:r w:rsidR="00EF40B0">
        <w:rPr>
          <w:rFonts w:cstheme="minorHAnsi"/>
        </w:rPr>
        <w:noBreakHyphen/>
      </w:r>
      <w:r w:rsidR="00E26C84" w:rsidRPr="00F67579">
        <w:rPr>
          <w:rFonts w:cstheme="minorHAnsi"/>
        </w:rPr>
        <w:t>making processes</w:t>
      </w:r>
      <w:r w:rsidR="00646E4F">
        <w:rPr>
          <w:rFonts w:cstheme="minorHAnsi"/>
        </w:rPr>
        <w:t xml:space="preserve"> are ineffective, however there are opportunities for ASIC to improve its performance</w:t>
      </w:r>
      <w:r w:rsidR="004C4B0B" w:rsidRPr="00F67579">
        <w:rPr>
          <w:rFonts w:cstheme="minorHAnsi"/>
        </w:rPr>
        <w:t>.</w:t>
      </w:r>
      <w:r w:rsidR="00FE3F51">
        <w:rPr>
          <w:rFonts w:cstheme="minorHAnsi"/>
        </w:rPr>
        <w:t xml:space="preserve"> In the following section,</w:t>
      </w:r>
      <w:r w:rsidR="00E26C84" w:rsidRPr="00F67579">
        <w:rPr>
          <w:rFonts w:cstheme="minorHAnsi"/>
        </w:rPr>
        <w:t xml:space="preserve"> </w:t>
      </w:r>
      <w:r w:rsidR="00FE3F51">
        <w:rPr>
          <w:rFonts w:cstheme="minorHAnsi"/>
        </w:rPr>
        <w:t>t</w:t>
      </w:r>
      <w:r w:rsidR="00E26C84" w:rsidRPr="00F67579">
        <w:rPr>
          <w:rFonts w:cstheme="minorHAnsi"/>
        </w:rPr>
        <w:t xml:space="preserve">he FRAA notes </w:t>
      </w:r>
      <w:r w:rsidR="0010600F">
        <w:rPr>
          <w:rFonts w:cstheme="minorHAnsi"/>
        </w:rPr>
        <w:t>ASIC</w:t>
      </w:r>
      <w:r w:rsidR="00EF40B0">
        <w:rPr>
          <w:rFonts w:cstheme="minorHAnsi"/>
        </w:rPr>
        <w:t>’</w:t>
      </w:r>
      <w:r w:rsidR="0010600F">
        <w:rPr>
          <w:rFonts w:cstheme="minorHAnsi"/>
        </w:rPr>
        <w:t xml:space="preserve">s own initiatives to </w:t>
      </w:r>
      <w:r w:rsidR="00E24774">
        <w:rPr>
          <w:rFonts w:cstheme="minorHAnsi"/>
        </w:rPr>
        <w:t xml:space="preserve">improve </w:t>
      </w:r>
      <w:r w:rsidR="00145260">
        <w:rPr>
          <w:rFonts w:cstheme="minorHAnsi"/>
        </w:rPr>
        <w:t xml:space="preserve">and comments on potential additional improvements </w:t>
      </w:r>
      <w:r w:rsidR="00E26C84" w:rsidRPr="00F67579">
        <w:rPr>
          <w:rFonts w:cstheme="minorHAnsi"/>
        </w:rPr>
        <w:t>for ASIC</w:t>
      </w:r>
      <w:r w:rsidR="00EF40B0">
        <w:rPr>
          <w:rFonts w:cstheme="minorHAnsi"/>
        </w:rPr>
        <w:t>’</w:t>
      </w:r>
      <w:r w:rsidR="00E26C84" w:rsidRPr="00F67579">
        <w:rPr>
          <w:rFonts w:cstheme="minorHAnsi"/>
        </w:rPr>
        <w:t>s consideration</w:t>
      </w:r>
      <w:r w:rsidR="00791D32">
        <w:rPr>
          <w:rFonts w:cstheme="minorHAnsi"/>
        </w:rPr>
        <w:t>.</w:t>
      </w:r>
    </w:p>
    <w:p w14:paraId="636ABF6F" w14:textId="77777777" w:rsidR="00E26C84" w:rsidRPr="000D21B0" w:rsidRDefault="00E26C84" w:rsidP="004C4B0B">
      <w:pPr>
        <w:pStyle w:val="Heading4"/>
        <w:rPr>
          <w:rFonts w:ascii="Calibri Light" w:eastAsia="Yu Gothic Light" w:hAnsi="Calibri Light"/>
          <w:i/>
          <w:color w:val="2F5496"/>
          <w:lang w:eastAsia="en-US"/>
        </w:rPr>
      </w:pPr>
      <w:r>
        <w:rPr>
          <w:rFonts w:eastAsia="Yu Gothic Light"/>
        </w:rPr>
        <w:t>Quality stakeholder engagement</w:t>
      </w:r>
    </w:p>
    <w:p w14:paraId="113EF68B" w14:textId="35A03265" w:rsidR="00E26C84" w:rsidRPr="00F67579" w:rsidRDefault="00E26C84" w:rsidP="00975036">
      <w:pPr>
        <w:pStyle w:val="numberedtext"/>
        <w:numPr>
          <w:ilvl w:val="0"/>
          <w:numId w:val="19"/>
        </w:numPr>
        <w:ind w:left="573" w:hanging="573"/>
        <w:rPr>
          <w:rFonts w:cstheme="minorHAnsi"/>
        </w:rPr>
      </w:pPr>
      <w:r w:rsidRPr="00F67579">
        <w:rPr>
          <w:rFonts w:cstheme="minorHAnsi"/>
        </w:rPr>
        <w:t xml:space="preserve">ASIC consults with its external panels to seek input on identified threats and harms. Consumer advocacy bodies questioned the efficiency of </w:t>
      </w:r>
      <w:r w:rsidR="00C7469B">
        <w:rPr>
          <w:rFonts w:cstheme="minorHAnsi"/>
        </w:rPr>
        <w:t>the</w:t>
      </w:r>
      <w:r w:rsidR="00174127">
        <w:rPr>
          <w:rFonts w:cstheme="minorHAnsi"/>
        </w:rPr>
        <w:t xml:space="preserve"> </w:t>
      </w:r>
      <w:r w:rsidRPr="00F67579">
        <w:rPr>
          <w:rFonts w:cstheme="minorHAnsi"/>
        </w:rPr>
        <w:t>ACCP, describing it as ASIC sharing information rather than a meaningful discussion about long</w:t>
      </w:r>
      <w:r w:rsidR="00EF40B0">
        <w:rPr>
          <w:rFonts w:cstheme="minorHAnsi"/>
        </w:rPr>
        <w:noBreakHyphen/>
      </w:r>
      <w:r w:rsidRPr="00F67579">
        <w:rPr>
          <w:rFonts w:cstheme="minorHAnsi"/>
        </w:rPr>
        <w:t>term issues raised by consumers.</w:t>
      </w:r>
      <w:r w:rsidRPr="005F2B38">
        <w:rPr>
          <w:vertAlign w:val="superscript"/>
        </w:rPr>
        <w:footnoteReference w:id="43"/>
      </w:r>
      <w:r w:rsidRPr="00F67579">
        <w:rPr>
          <w:rFonts w:cstheme="minorHAnsi"/>
        </w:rPr>
        <w:t xml:space="preserve"> ASIC noted that quarterly ACCP meetings are an opportunity for members to raise priority issues for discussion with the Commission</w:t>
      </w:r>
      <w:r w:rsidR="004C4B0B" w:rsidRPr="00F67579">
        <w:rPr>
          <w:rFonts w:cstheme="minorHAnsi"/>
        </w:rPr>
        <w:t xml:space="preserve"> and ASIC maintains a register to track the complaints raised</w:t>
      </w:r>
      <w:r w:rsidRPr="00F67579">
        <w:rPr>
          <w:rFonts w:cstheme="minorHAnsi"/>
        </w:rPr>
        <w:t xml:space="preserve"> about specific industry participants.</w:t>
      </w:r>
    </w:p>
    <w:p w14:paraId="3784F795" w14:textId="04490FF6" w:rsidR="004C4B0B" w:rsidRPr="00F67579" w:rsidRDefault="004C4B0B" w:rsidP="00975036">
      <w:pPr>
        <w:pStyle w:val="numberedtext"/>
        <w:numPr>
          <w:ilvl w:val="0"/>
          <w:numId w:val="19"/>
        </w:numPr>
        <w:ind w:left="573" w:hanging="573"/>
        <w:rPr>
          <w:rFonts w:cstheme="minorHAnsi"/>
        </w:rPr>
      </w:pPr>
      <w:r w:rsidRPr="00F67579">
        <w:rPr>
          <w:rFonts w:cstheme="minorHAnsi"/>
        </w:rPr>
        <w:t>Public submissions from consumer advocacy bodies and banking and law sectors requested further engagement with ASIC as it develops its strategic priorities.</w:t>
      </w:r>
      <w:r w:rsidRPr="005F2B38">
        <w:rPr>
          <w:vertAlign w:val="superscript"/>
        </w:rPr>
        <w:footnoteReference w:id="44"/>
      </w:r>
      <w:r w:rsidRPr="005F2B38">
        <w:rPr>
          <w:vertAlign w:val="superscript"/>
        </w:rPr>
        <w:t xml:space="preserve"> </w:t>
      </w:r>
      <w:r w:rsidRPr="00F67579">
        <w:rPr>
          <w:rFonts w:cstheme="minorHAnsi"/>
        </w:rPr>
        <w:t>This view was echoed in responses to the FRAA</w:t>
      </w:r>
      <w:r w:rsidR="00EF40B0">
        <w:rPr>
          <w:rFonts w:cstheme="minorHAnsi"/>
        </w:rPr>
        <w:t>’</w:t>
      </w:r>
      <w:r w:rsidRPr="00F67579">
        <w:rPr>
          <w:rFonts w:cstheme="minorHAnsi"/>
        </w:rPr>
        <w:t>s survey of ASIC stakeholders where only 7% of respondents agreed that ASIC effectively incorporates the views of external stakeholders when setting priorities (66% disagreed and the rest were neutral).</w:t>
      </w:r>
      <w:r w:rsidRPr="005F2B38">
        <w:rPr>
          <w:vertAlign w:val="superscript"/>
        </w:rPr>
        <w:footnoteReference w:id="45"/>
      </w:r>
      <w:r w:rsidRPr="005F2B38">
        <w:rPr>
          <w:vertAlign w:val="superscript"/>
        </w:rPr>
        <w:t xml:space="preserve"> </w:t>
      </w:r>
      <w:r w:rsidRPr="00F67579">
        <w:rPr>
          <w:rFonts w:cstheme="minorHAnsi"/>
        </w:rPr>
        <w:t>Some stakeholders noted that further consultation with industry would better inform ASIC</w:t>
      </w:r>
      <w:r w:rsidR="00EF40B0">
        <w:rPr>
          <w:rFonts w:cstheme="minorHAnsi"/>
        </w:rPr>
        <w:t>’</w:t>
      </w:r>
      <w:r w:rsidRPr="00F67579">
        <w:rPr>
          <w:rFonts w:cstheme="minorHAnsi"/>
        </w:rPr>
        <w:t>s thinking on emerging issues and support effective industry engagement.</w:t>
      </w:r>
      <w:r w:rsidRPr="005F2B38">
        <w:rPr>
          <w:vertAlign w:val="superscript"/>
        </w:rPr>
        <w:footnoteReference w:id="46"/>
      </w:r>
      <w:r w:rsidRPr="005F2B38">
        <w:t xml:space="preserve"> </w:t>
      </w:r>
    </w:p>
    <w:p w14:paraId="031AD4BE" w14:textId="0AC4E02F" w:rsidR="004C4B0B" w:rsidRPr="003F4C99" w:rsidRDefault="00EF40B0" w:rsidP="0001492E">
      <w:pPr>
        <w:pStyle w:val="Quote"/>
        <w:rPr>
          <w:rFonts w:cstheme="minorHAnsi"/>
          <w:b/>
        </w:rPr>
      </w:pPr>
      <w:r>
        <w:t>‘</w:t>
      </w:r>
      <w:r w:rsidR="004C4B0B" w:rsidRPr="00391F0C">
        <w:t>ASIC can focus on issues that are topical but not inherently risky.</w:t>
      </w:r>
      <w:r>
        <w:t>’</w:t>
      </w:r>
      <w:r w:rsidR="004C4B0B" w:rsidRPr="00391F0C">
        <w:t xml:space="preserve"> </w:t>
      </w:r>
      <w:r w:rsidR="00B11BCB">
        <w:t xml:space="preserve">– </w:t>
      </w:r>
      <w:r w:rsidR="004C4B0B" w:rsidRPr="00391F0C">
        <w:t>Public submission</w:t>
      </w:r>
      <w:r w:rsidR="004C4B0B">
        <w:t>, Australian Securities Exchange</w:t>
      </w:r>
    </w:p>
    <w:p w14:paraId="376026AF" w14:textId="77777777" w:rsidR="00E26C84" w:rsidRPr="00F67579" w:rsidRDefault="00E26C84" w:rsidP="00975036">
      <w:pPr>
        <w:pStyle w:val="numberedtext"/>
        <w:numPr>
          <w:ilvl w:val="0"/>
          <w:numId w:val="19"/>
        </w:numPr>
        <w:ind w:left="573" w:hanging="573"/>
        <w:rPr>
          <w:rFonts w:cstheme="minorHAnsi"/>
        </w:rPr>
      </w:pPr>
      <w:r w:rsidRPr="00F67579">
        <w:rPr>
          <w:rFonts w:cstheme="minorHAnsi"/>
        </w:rPr>
        <w:lastRenderedPageBreak/>
        <w:t xml:space="preserve">ASIC noted that external stakeholder feedback, including from its external panels, is one of many inputs as it sets its strategic priorities. </w:t>
      </w:r>
    </w:p>
    <w:p w14:paraId="7EB8E11D" w14:textId="03263C6A" w:rsidR="00E26C84" w:rsidRPr="00F67579" w:rsidRDefault="00E26C84" w:rsidP="00975036">
      <w:pPr>
        <w:pStyle w:val="numberedtext"/>
        <w:numPr>
          <w:ilvl w:val="0"/>
          <w:numId w:val="19"/>
        </w:numPr>
        <w:ind w:left="573" w:hanging="573"/>
        <w:rPr>
          <w:rFonts w:cstheme="minorHAnsi"/>
        </w:rPr>
      </w:pPr>
      <w:bookmarkStart w:id="81" w:name="_Hlk107660522"/>
      <w:r w:rsidRPr="00F67579">
        <w:rPr>
          <w:rFonts w:cstheme="minorHAnsi"/>
        </w:rPr>
        <w:t>The FRAA notes that there will be times when industry and stakeholder groups disagree with ASIC</w:t>
      </w:r>
      <w:r w:rsidR="00EF40B0">
        <w:rPr>
          <w:rFonts w:cstheme="minorHAnsi"/>
        </w:rPr>
        <w:t>’</w:t>
      </w:r>
      <w:r w:rsidRPr="00F67579">
        <w:rPr>
          <w:rFonts w:cstheme="minorHAnsi"/>
        </w:rPr>
        <w:t xml:space="preserve">s priorities and activity. </w:t>
      </w:r>
      <w:r w:rsidR="004C4B0B" w:rsidRPr="00F67579">
        <w:rPr>
          <w:rFonts w:cstheme="minorHAnsi"/>
        </w:rPr>
        <w:t>However, the FRAA considers it important to ASIC</w:t>
      </w:r>
      <w:r w:rsidR="00EF40B0">
        <w:rPr>
          <w:rFonts w:cstheme="minorHAnsi"/>
        </w:rPr>
        <w:t>’</w:t>
      </w:r>
      <w:r w:rsidR="004C4B0B" w:rsidRPr="00F67579">
        <w:rPr>
          <w:rFonts w:cstheme="minorHAnsi"/>
        </w:rPr>
        <w:t>s effectiveness that in setting its priorities, ASIC</w:t>
      </w:r>
      <w:r w:rsidRPr="00F67579">
        <w:rPr>
          <w:rFonts w:cstheme="minorHAnsi"/>
        </w:rPr>
        <w:t xml:space="preserve"> engages in open and constructive dialogue with stakeholders including communicating to stakeholders on how their feedback has been considered. </w:t>
      </w:r>
    </w:p>
    <w:p w14:paraId="15A108B4" w14:textId="45E863D5" w:rsidR="004C4B0B" w:rsidRPr="00F67579" w:rsidRDefault="004C4B0B" w:rsidP="00975036">
      <w:pPr>
        <w:pStyle w:val="numberedtext"/>
        <w:numPr>
          <w:ilvl w:val="0"/>
          <w:numId w:val="19"/>
        </w:numPr>
        <w:ind w:left="573" w:hanging="573"/>
        <w:rPr>
          <w:rFonts w:cstheme="minorHAnsi"/>
        </w:rPr>
      </w:pPr>
      <w:bookmarkStart w:id="82" w:name="_Ref110262428"/>
      <w:r w:rsidRPr="00F67579">
        <w:rPr>
          <w:rFonts w:cstheme="minorHAnsi"/>
        </w:rPr>
        <w:t>ASIC is focussing on how it engages with the regulated population</w:t>
      </w:r>
      <w:r w:rsidR="007616F1">
        <w:rPr>
          <w:rFonts w:cstheme="minorHAnsi"/>
        </w:rPr>
        <w:t xml:space="preserve"> and this was a </w:t>
      </w:r>
      <w:r w:rsidR="00C82580">
        <w:rPr>
          <w:rFonts w:cstheme="minorHAnsi"/>
        </w:rPr>
        <w:t>primary objective in</w:t>
      </w:r>
      <w:r w:rsidRPr="00F67579">
        <w:rPr>
          <w:rFonts w:cstheme="minorHAnsi"/>
        </w:rPr>
        <w:t xml:space="preserve"> establishing the Regulatory Efficiency Unit in November 2021 under the Office of the Chair. ASIC has consulted with more than 70 stakeholders to help identify ways to improve the efficiency of its interactions with its regulated population. Initiatives flagged for </w:t>
      </w:r>
      <w:r w:rsidR="00440E13">
        <w:rPr>
          <w:rFonts w:cstheme="minorHAnsi"/>
        </w:rPr>
        <w:t>20</w:t>
      </w:r>
      <w:r w:rsidR="00EA3CBC">
        <w:rPr>
          <w:rFonts w:cstheme="minorHAnsi"/>
        </w:rPr>
        <w:t>22</w:t>
      </w:r>
      <w:r w:rsidR="00EF40B0">
        <w:rPr>
          <w:rFonts w:cstheme="minorHAnsi"/>
        </w:rPr>
        <w:noBreakHyphen/>
      </w:r>
      <w:r w:rsidRPr="00F67579">
        <w:rPr>
          <w:rFonts w:cstheme="minorHAnsi"/>
        </w:rPr>
        <w:t xml:space="preserve">23 are set out in </w:t>
      </w:r>
      <w:r w:rsidR="00A6032A" w:rsidRPr="009B3E6B">
        <w:t xml:space="preserve">Box </w:t>
      </w:r>
      <w:r w:rsidR="00A6032A">
        <w:t>3</w:t>
      </w:r>
      <w:r w:rsidR="00A6032A" w:rsidRPr="009B3E6B">
        <w:t>.</w:t>
      </w:r>
      <w:r w:rsidR="00A6032A">
        <w:t>1</w:t>
      </w:r>
      <w:r w:rsidRPr="00F67579">
        <w:rPr>
          <w:rFonts w:cstheme="minorHAnsi"/>
        </w:rPr>
        <w:t xml:space="preserve">. ASIC expects implementation of these initiatives to continue into </w:t>
      </w:r>
      <w:r w:rsidR="00440E13">
        <w:rPr>
          <w:rFonts w:cstheme="minorHAnsi"/>
        </w:rPr>
        <w:t>20</w:t>
      </w:r>
      <w:r w:rsidR="00C918C8">
        <w:rPr>
          <w:rFonts w:cstheme="minorHAnsi"/>
        </w:rPr>
        <w:t>23</w:t>
      </w:r>
      <w:r w:rsidR="00EF40B0">
        <w:rPr>
          <w:rFonts w:cstheme="minorHAnsi"/>
        </w:rPr>
        <w:noBreakHyphen/>
      </w:r>
      <w:r w:rsidRPr="00F67579">
        <w:rPr>
          <w:rFonts w:cstheme="minorHAnsi"/>
        </w:rPr>
        <w:t>24.</w:t>
      </w:r>
      <w:bookmarkEnd w:id="82"/>
    </w:p>
    <w:tbl>
      <w:tblPr>
        <w:tblStyle w:val="TableGrid"/>
        <w:tblW w:w="0" w:type="auto"/>
        <w:tblInd w:w="567" w:type="dxa"/>
        <w:tblCellMar>
          <w:top w:w="170" w:type="dxa"/>
          <w:left w:w="170" w:type="dxa"/>
          <w:bottom w:w="170" w:type="dxa"/>
          <w:right w:w="170" w:type="dxa"/>
        </w:tblCellMar>
        <w:tblLook w:val="04A0" w:firstRow="1" w:lastRow="0" w:firstColumn="1" w:lastColumn="0" w:noHBand="0" w:noVBand="1"/>
      </w:tblPr>
      <w:tblGrid>
        <w:gridCol w:w="8459"/>
      </w:tblGrid>
      <w:tr w:rsidR="004C4B0B" w14:paraId="20516464" w14:textId="77777777" w:rsidTr="001A1CBE">
        <w:tc>
          <w:tcPr>
            <w:tcW w:w="8459" w:type="dxa"/>
            <w:shd w:val="clear" w:color="auto" w:fill="EAEAEA" w:themeFill="background2"/>
          </w:tcPr>
          <w:p w14:paraId="5DD79BE8" w14:textId="77777777" w:rsidR="004C4B0B" w:rsidRPr="009B3E6B" w:rsidRDefault="004C4B0B" w:rsidP="001A1CBE">
            <w:pPr>
              <w:pStyle w:val="BoxHeading"/>
            </w:pPr>
            <w:bookmarkStart w:id="83" w:name="Box_3_1"/>
            <w:bookmarkEnd w:id="81"/>
            <w:r w:rsidRPr="009B3E6B">
              <w:t xml:space="preserve">Box </w:t>
            </w:r>
            <w:r>
              <w:t>3</w:t>
            </w:r>
            <w:r w:rsidRPr="009B3E6B">
              <w:t>.</w:t>
            </w:r>
            <w:r>
              <w:t>1</w:t>
            </w:r>
            <w:bookmarkEnd w:id="83"/>
            <w:r w:rsidRPr="009B3E6B">
              <w:t>: Regulatory Efficiency Unit initiatives</w:t>
            </w:r>
          </w:p>
          <w:p w14:paraId="127D36E7" w14:textId="34310195" w:rsidR="004C4B0B" w:rsidRPr="00FC5EF2" w:rsidRDefault="004C4B0B" w:rsidP="005115AE">
            <w:pPr>
              <w:pStyle w:val="BoxBullet"/>
            </w:pPr>
            <w:r w:rsidRPr="001A462B">
              <w:rPr>
                <w:b/>
              </w:rPr>
              <w:t>ASIC</w:t>
            </w:r>
            <w:r w:rsidR="00EF40B0">
              <w:rPr>
                <w:b/>
              </w:rPr>
              <w:t>’</w:t>
            </w:r>
            <w:r w:rsidRPr="001A462B">
              <w:rPr>
                <w:b/>
              </w:rPr>
              <w:t>s approach to regulatory guidance:</w:t>
            </w:r>
            <w:r w:rsidR="000C2CDB" w:rsidRPr="000C2CDB">
              <w:rPr>
                <w:b/>
                <w:bCs/>
              </w:rPr>
              <w:t xml:space="preserve"> </w:t>
            </w:r>
            <w:r w:rsidRPr="0001492E">
              <w:t>ASIC will review its practices in the development and updating of regulatory guidance. As part of this workstream, ASIC will consider how best to implement a regulatory development timetable and a more coordinated approach to the maintenance of existing regulatory guidance.</w:t>
            </w:r>
          </w:p>
          <w:p w14:paraId="44093EA0" w14:textId="4D2F0920" w:rsidR="004C4B0B" w:rsidRPr="00FC5EF2" w:rsidRDefault="004C4B0B" w:rsidP="005115AE">
            <w:pPr>
              <w:pStyle w:val="BoxBullet"/>
            </w:pPr>
            <w:r w:rsidRPr="00FA79E0">
              <w:rPr>
                <w:b/>
              </w:rPr>
              <w:t>Options to improve the use of ASIC</w:t>
            </w:r>
            <w:r w:rsidR="00EF40B0" w:rsidRPr="00FA79E0">
              <w:rPr>
                <w:b/>
              </w:rPr>
              <w:t>’</w:t>
            </w:r>
            <w:r w:rsidRPr="00FA79E0">
              <w:rPr>
                <w:b/>
              </w:rPr>
              <w:t>s information</w:t>
            </w:r>
            <w:r w:rsidR="002B570D">
              <w:rPr>
                <w:b/>
              </w:rPr>
              <w:t>-</w:t>
            </w:r>
            <w:r w:rsidRPr="00FA79E0">
              <w:rPr>
                <w:b/>
              </w:rPr>
              <w:t>gathering powers:</w:t>
            </w:r>
            <w:r w:rsidR="00FA79E0">
              <w:t xml:space="preserve"> </w:t>
            </w:r>
            <w:r w:rsidRPr="0001492E">
              <w:t>ASIC will review the practices used across the organisation when using its information</w:t>
            </w:r>
            <w:r w:rsidR="00EF40B0">
              <w:noBreakHyphen/>
            </w:r>
            <w:r w:rsidRPr="0001492E">
              <w:t>gathering powers. ASIC will pilot measures to test the effectiveness of increased engagement with the recipients of these information</w:t>
            </w:r>
            <w:r w:rsidR="00EF40B0">
              <w:noBreakHyphen/>
            </w:r>
            <w:r w:rsidRPr="0001492E">
              <w:t>gathering requests. For example, holding meeting(s) with entities ahead of commencing a complex and/or significant investigation with a focus on ASIC</w:t>
            </w:r>
            <w:r w:rsidR="00EF40B0">
              <w:t>’</w:t>
            </w:r>
            <w:r w:rsidRPr="0001492E">
              <w:t>s expectations associated with the conduct of the investigation (including fairness).</w:t>
            </w:r>
          </w:p>
          <w:p w14:paraId="6FC98071" w14:textId="143189AC" w:rsidR="004C4B0B" w:rsidRPr="00FC5EF2" w:rsidRDefault="004C4B0B" w:rsidP="005115AE">
            <w:pPr>
              <w:pStyle w:val="BoxBullet"/>
            </w:pPr>
            <w:r w:rsidRPr="001A462B">
              <w:rPr>
                <w:b/>
              </w:rPr>
              <w:t>Enhance ASIC</w:t>
            </w:r>
            <w:r w:rsidR="00EF40B0">
              <w:rPr>
                <w:b/>
              </w:rPr>
              <w:t>’</w:t>
            </w:r>
            <w:r w:rsidRPr="001A462B">
              <w:rPr>
                <w:b/>
              </w:rPr>
              <w:t>s stakeholder engagement:</w:t>
            </w:r>
            <w:r w:rsidR="00FA79E0">
              <w:t xml:space="preserve"> </w:t>
            </w:r>
            <w:r w:rsidRPr="0001492E">
              <w:t>ASIC will review its existing engagement approaches. ASIC will undertake a case study that focuses on the licensing engagement model (including how ASIC deals with applicants and their advisers). ASIC will explore ways to improve the clarity and consistency in external messaging about its priorities and decision</w:t>
            </w:r>
            <w:r w:rsidR="00EF40B0">
              <w:noBreakHyphen/>
            </w:r>
            <w:r w:rsidRPr="0001492E">
              <w:t>making.</w:t>
            </w:r>
          </w:p>
        </w:tc>
      </w:tr>
    </w:tbl>
    <w:p w14:paraId="6D85152F" w14:textId="2FA4F259" w:rsidR="004C4B0B" w:rsidRPr="00F67579" w:rsidRDefault="004C4B0B" w:rsidP="00975036">
      <w:pPr>
        <w:pStyle w:val="numberedtext"/>
        <w:numPr>
          <w:ilvl w:val="0"/>
          <w:numId w:val="19"/>
        </w:numPr>
        <w:ind w:left="573" w:hanging="573"/>
        <w:rPr>
          <w:rFonts w:cstheme="minorHAnsi"/>
        </w:rPr>
      </w:pPr>
      <w:r w:rsidRPr="00F67579">
        <w:rPr>
          <w:rFonts w:cstheme="minorHAnsi"/>
        </w:rPr>
        <w:t>The FRAA</w:t>
      </w:r>
      <w:r w:rsidR="00EF40B0">
        <w:rPr>
          <w:rFonts w:cstheme="minorHAnsi"/>
        </w:rPr>
        <w:t>’</w:t>
      </w:r>
      <w:r w:rsidRPr="00F67579">
        <w:rPr>
          <w:rFonts w:cstheme="minorHAnsi"/>
        </w:rPr>
        <w:t>s view is that to improve the efficiency, and therefore effectiveness, of ASIC</w:t>
      </w:r>
      <w:r w:rsidR="00EF40B0">
        <w:rPr>
          <w:rFonts w:cstheme="minorHAnsi"/>
        </w:rPr>
        <w:t>’</w:t>
      </w:r>
      <w:r w:rsidRPr="00F67579">
        <w:rPr>
          <w:rFonts w:cstheme="minorHAnsi"/>
        </w:rPr>
        <w:t xml:space="preserve">s strategic planning process, ASIC should improve its approach to stakeholder engagement. </w:t>
      </w:r>
    </w:p>
    <w:p w14:paraId="258AA982" w14:textId="77777777" w:rsidR="004C4B0B" w:rsidRPr="00305E74" w:rsidRDefault="004C4B0B" w:rsidP="004C4B0B">
      <w:pPr>
        <w:pStyle w:val="Heading4"/>
        <w:rPr>
          <w:i/>
          <w:color w:val="5F5F5F" w:themeColor="text2"/>
        </w:rPr>
      </w:pPr>
      <w:r w:rsidRPr="00305E74">
        <w:t xml:space="preserve">Effective coordination with regulators and </w:t>
      </w:r>
      <w:r>
        <w:t>g</w:t>
      </w:r>
      <w:r w:rsidRPr="00305E74">
        <w:t>overnment</w:t>
      </w:r>
    </w:p>
    <w:p w14:paraId="53959666" w14:textId="25CFADDB" w:rsidR="004C4B0B" w:rsidRPr="00635984" w:rsidRDefault="004C4B0B" w:rsidP="00975036">
      <w:pPr>
        <w:pStyle w:val="numberedtext"/>
        <w:numPr>
          <w:ilvl w:val="0"/>
          <w:numId w:val="19"/>
        </w:numPr>
        <w:ind w:left="573" w:hanging="573"/>
        <w:rPr>
          <w:rFonts w:cstheme="minorHAnsi"/>
        </w:rPr>
      </w:pPr>
      <w:r w:rsidRPr="00635984">
        <w:rPr>
          <w:rFonts w:cstheme="minorHAnsi"/>
        </w:rPr>
        <w:t>Public submissions from</w:t>
      </w:r>
      <w:r w:rsidRPr="00B86F70">
        <w:rPr>
          <w:rFonts w:cstheme="minorHAnsi"/>
        </w:rPr>
        <w:t xml:space="preserve"> legal, banking, governance and superannuation sectors suggested that ASIC could improve its coordination with government and other regulators when sequencing regulatory initiatives.</w:t>
      </w:r>
      <w:r w:rsidRPr="001C576C">
        <w:rPr>
          <w:rFonts w:cstheme="minorHAnsi"/>
          <w:vertAlign w:val="superscript"/>
        </w:rPr>
        <w:footnoteReference w:id="47"/>
      </w:r>
      <w:r w:rsidRPr="00635984">
        <w:rPr>
          <w:rFonts w:cstheme="minorHAnsi"/>
        </w:rPr>
        <w:t xml:space="preserve"> </w:t>
      </w:r>
      <w:r w:rsidRPr="00B86F70">
        <w:rPr>
          <w:rFonts w:cstheme="minorHAnsi"/>
        </w:rPr>
        <w:t>This point was often expressed in relation to a period of significant</w:t>
      </w:r>
      <w:r w:rsidRPr="00635984">
        <w:rPr>
          <w:rFonts w:cstheme="minorHAnsi"/>
        </w:rPr>
        <w:t xml:space="preserve"> </w:t>
      </w:r>
      <w:r w:rsidRPr="00B86F70">
        <w:rPr>
          <w:rFonts w:cstheme="minorHAnsi"/>
        </w:rPr>
        <w:t>policy implementation in October 2021, when anti</w:t>
      </w:r>
      <w:r w:rsidR="00EF40B0">
        <w:rPr>
          <w:rFonts w:cstheme="minorHAnsi"/>
        </w:rPr>
        <w:noBreakHyphen/>
      </w:r>
      <w:r w:rsidRPr="00B86F70">
        <w:rPr>
          <w:rFonts w:cstheme="minorHAnsi"/>
        </w:rPr>
        <w:t>hawking, breach reporting and product design and distribution obligations became effective.</w:t>
      </w:r>
      <w:r w:rsidRPr="00635984">
        <w:rPr>
          <w:rFonts w:cstheme="minorHAnsi"/>
          <w:vertAlign w:val="superscript"/>
        </w:rPr>
        <w:footnoteReference w:id="48"/>
      </w:r>
      <w:r w:rsidRPr="00635984">
        <w:rPr>
          <w:rFonts w:cstheme="minorHAnsi"/>
          <w:vertAlign w:val="superscript"/>
        </w:rPr>
        <w:t xml:space="preserve"> </w:t>
      </w:r>
    </w:p>
    <w:p w14:paraId="2CB7AD69" w14:textId="52E2AF4B" w:rsidR="00E26C84" w:rsidRPr="00F67579" w:rsidRDefault="00E26C84" w:rsidP="00975036">
      <w:pPr>
        <w:pStyle w:val="numberedtext"/>
        <w:numPr>
          <w:ilvl w:val="0"/>
          <w:numId w:val="19"/>
        </w:numPr>
        <w:ind w:left="573" w:hanging="573"/>
        <w:rPr>
          <w:rFonts w:cstheme="minorHAnsi"/>
        </w:rPr>
      </w:pPr>
      <w:r w:rsidRPr="00F67579">
        <w:rPr>
          <w:rFonts w:cstheme="minorHAnsi"/>
        </w:rPr>
        <w:t>The FRAA notes that these implementation timeframes were set by</w:t>
      </w:r>
      <w:r w:rsidR="008006BD">
        <w:rPr>
          <w:rFonts w:cstheme="minorHAnsi"/>
        </w:rPr>
        <w:t xml:space="preserve"> the</w:t>
      </w:r>
      <w:r w:rsidRPr="00F67579">
        <w:rPr>
          <w:rFonts w:cstheme="minorHAnsi"/>
        </w:rPr>
        <w:t xml:space="preserve"> </w:t>
      </w:r>
      <w:r w:rsidR="004C4B0B" w:rsidRPr="00F67579">
        <w:rPr>
          <w:rFonts w:cstheme="minorHAnsi"/>
        </w:rPr>
        <w:t>Government.</w:t>
      </w:r>
      <w:r w:rsidRPr="00F67579">
        <w:rPr>
          <w:rFonts w:cstheme="minorHAnsi"/>
        </w:rPr>
        <w:t xml:space="preserve"> The cumulative impact of many reforms commencing at once was the result of legislative timeframes and not a decision </w:t>
      </w:r>
      <w:r w:rsidR="004C4B0B" w:rsidRPr="00F67579">
        <w:rPr>
          <w:rFonts w:cstheme="minorHAnsi"/>
        </w:rPr>
        <w:t xml:space="preserve">of ASIC. This context was acknowledged by some </w:t>
      </w:r>
      <w:r w:rsidRPr="00F67579">
        <w:rPr>
          <w:rFonts w:cstheme="minorHAnsi"/>
        </w:rPr>
        <w:t>stakeholders who noted that priorities can be beyond ASIC</w:t>
      </w:r>
      <w:r w:rsidR="00EF40B0">
        <w:rPr>
          <w:rFonts w:cstheme="minorHAnsi"/>
        </w:rPr>
        <w:t>’</w:t>
      </w:r>
      <w:r w:rsidRPr="00F67579">
        <w:rPr>
          <w:rFonts w:cstheme="minorHAnsi"/>
        </w:rPr>
        <w:t>s control and coordination occurs at the Council of Financial Regulators.</w:t>
      </w:r>
    </w:p>
    <w:p w14:paraId="1D844D45" w14:textId="77777777" w:rsidR="00E26C84" w:rsidRPr="00736D3A" w:rsidRDefault="00E26C84" w:rsidP="004C4B0B">
      <w:pPr>
        <w:pStyle w:val="Heading4"/>
        <w:rPr>
          <w:rFonts w:eastAsia="Yu Gothic Light"/>
        </w:rPr>
      </w:pPr>
      <w:r w:rsidRPr="00E55371">
        <w:rPr>
          <w:rFonts w:eastAsia="Yu Gothic Light"/>
        </w:rPr>
        <w:lastRenderedPageBreak/>
        <w:t>Flexibility</w:t>
      </w:r>
      <w:r w:rsidRPr="00736D3A">
        <w:rPr>
          <w:rFonts w:eastAsia="Yu Gothic Light"/>
        </w:rPr>
        <w:t xml:space="preserve"> to respond to changes</w:t>
      </w:r>
    </w:p>
    <w:p w14:paraId="7795056A" w14:textId="4288D4AB" w:rsidR="00E26C84" w:rsidRPr="00F67579" w:rsidRDefault="00E26C84" w:rsidP="00975036">
      <w:pPr>
        <w:pStyle w:val="numberedtext"/>
        <w:numPr>
          <w:ilvl w:val="0"/>
          <w:numId w:val="19"/>
        </w:numPr>
        <w:ind w:left="573" w:hanging="573"/>
        <w:rPr>
          <w:rFonts w:cstheme="minorHAnsi"/>
        </w:rPr>
      </w:pPr>
      <w:r w:rsidRPr="00F67579">
        <w:rPr>
          <w:rFonts w:cstheme="minorHAnsi"/>
        </w:rPr>
        <w:t>Public submissions in legal, governance, superannuation, insurance and restructuring sectors were supportive of ASIC</w:t>
      </w:r>
      <w:r w:rsidR="00EF40B0">
        <w:rPr>
          <w:rFonts w:cstheme="minorHAnsi"/>
        </w:rPr>
        <w:t>’</w:t>
      </w:r>
      <w:r w:rsidRPr="00F67579">
        <w:rPr>
          <w:rFonts w:cstheme="minorHAnsi"/>
        </w:rPr>
        <w:t xml:space="preserve">s response to </w:t>
      </w:r>
      <w:r w:rsidR="003D418F">
        <w:rPr>
          <w:rFonts w:cstheme="minorHAnsi"/>
        </w:rPr>
        <w:t xml:space="preserve">the </w:t>
      </w:r>
      <w:r w:rsidRPr="00F67579">
        <w:rPr>
          <w:rFonts w:cstheme="minorHAnsi"/>
        </w:rPr>
        <w:t>COVID</w:t>
      </w:r>
      <w:r w:rsidR="00EF40B0">
        <w:rPr>
          <w:rFonts w:cstheme="minorHAnsi"/>
        </w:rPr>
        <w:noBreakHyphen/>
      </w:r>
      <w:r w:rsidRPr="00F67579">
        <w:rPr>
          <w:rFonts w:cstheme="minorHAnsi"/>
        </w:rPr>
        <w:t>19</w:t>
      </w:r>
      <w:r w:rsidR="003D418F">
        <w:rPr>
          <w:rFonts w:cstheme="minorHAnsi"/>
        </w:rPr>
        <w:t xml:space="preserve"> pandemic</w:t>
      </w:r>
      <w:r w:rsidR="004C4B0B" w:rsidRPr="00F67579">
        <w:rPr>
          <w:rFonts w:cstheme="minorHAnsi"/>
        </w:rPr>
        <w:t>. Submissions noted ASIC</w:t>
      </w:r>
      <w:r w:rsidR="00EF40B0">
        <w:rPr>
          <w:rFonts w:cstheme="minorHAnsi"/>
        </w:rPr>
        <w:t>’</w:t>
      </w:r>
      <w:r w:rsidR="004C4B0B" w:rsidRPr="00F67579">
        <w:rPr>
          <w:rFonts w:cstheme="minorHAnsi"/>
        </w:rPr>
        <w:t>s engagement and flexibility, including by setting interim strategic priorities and restructuring its business planning process to focus on immediate concerns arising from the pandemic.</w:t>
      </w:r>
      <w:r w:rsidR="004C4B0B" w:rsidRPr="00635984">
        <w:rPr>
          <w:rFonts w:cstheme="minorHAnsi"/>
          <w:vertAlign w:val="superscript"/>
        </w:rPr>
        <w:footnoteReference w:id="49"/>
      </w:r>
      <w:r w:rsidRPr="00F67579">
        <w:rPr>
          <w:rFonts w:cstheme="minorHAnsi"/>
        </w:rPr>
        <w:t xml:space="preserve"> </w:t>
      </w:r>
    </w:p>
    <w:p w14:paraId="2AFD99F0" w14:textId="206551C3" w:rsidR="004C4B0B" w:rsidRPr="00F67579" w:rsidRDefault="004C4B0B" w:rsidP="00975036">
      <w:pPr>
        <w:pStyle w:val="numberedtext"/>
        <w:numPr>
          <w:ilvl w:val="0"/>
          <w:numId w:val="19"/>
        </w:numPr>
        <w:ind w:left="573" w:hanging="573"/>
        <w:rPr>
          <w:rFonts w:cstheme="minorHAnsi"/>
        </w:rPr>
      </w:pPr>
      <w:r w:rsidRPr="00F67579">
        <w:rPr>
          <w:rFonts w:cstheme="minorHAnsi"/>
        </w:rPr>
        <w:t xml:space="preserve">Submissions noted that ASIC did not </w:t>
      </w:r>
      <w:r w:rsidRPr="00F67579" w:rsidDel="00DF6310">
        <w:rPr>
          <w:rFonts w:cstheme="minorHAnsi"/>
        </w:rPr>
        <w:t>maintain this</w:t>
      </w:r>
      <w:r w:rsidRPr="00F67579">
        <w:rPr>
          <w:rFonts w:cstheme="minorHAnsi"/>
        </w:rPr>
        <w:t xml:space="preserve"> approach</w:t>
      </w:r>
      <w:r w:rsidRPr="00F67579" w:rsidDel="00327A5F">
        <w:rPr>
          <w:rFonts w:cstheme="minorHAnsi"/>
        </w:rPr>
        <w:t xml:space="preserve"> </w:t>
      </w:r>
      <w:r w:rsidRPr="00F67579">
        <w:rPr>
          <w:rFonts w:cstheme="minorHAnsi"/>
        </w:rPr>
        <w:t>towards the close of 2021 during a period of significant change for industry.</w:t>
      </w:r>
      <w:r w:rsidRPr="00635984">
        <w:rPr>
          <w:rFonts w:cstheme="minorHAnsi"/>
          <w:vertAlign w:val="superscript"/>
        </w:rPr>
        <w:footnoteReference w:id="50"/>
      </w:r>
      <w:r w:rsidRPr="00635984">
        <w:rPr>
          <w:rFonts w:cstheme="minorHAnsi"/>
          <w:vertAlign w:val="superscript"/>
        </w:rPr>
        <w:t xml:space="preserve"> </w:t>
      </w:r>
      <w:r w:rsidRPr="00F67579">
        <w:rPr>
          <w:rFonts w:cstheme="minorHAnsi"/>
        </w:rPr>
        <w:t xml:space="preserve">One stakeholder noted that although disruption continued due to </w:t>
      </w:r>
      <w:r w:rsidR="008A67A9">
        <w:rPr>
          <w:rFonts w:cstheme="minorHAnsi"/>
        </w:rPr>
        <w:t>the</w:t>
      </w:r>
      <w:r w:rsidRPr="00F67579">
        <w:rPr>
          <w:rFonts w:cstheme="minorHAnsi"/>
        </w:rPr>
        <w:t xml:space="preserve"> COVID</w:t>
      </w:r>
      <w:r w:rsidR="00EF40B0">
        <w:rPr>
          <w:rFonts w:cstheme="minorHAnsi"/>
        </w:rPr>
        <w:noBreakHyphen/>
      </w:r>
      <w:r w:rsidRPr="00F67579">
        <w:rPr>
          <w:rFonts w:cstheme="minorHAnsi"/>
        </w:rPr>
        <w:t>19</w:t>
      </w:r>
      <w:r w:rsidR="008A67A9">
        <w:rPr>
          <w:rFonts w:cstheme="minorHAnsi"/>
        </w:rPr>
        <w:t xml:space="preserve"> pandemic</w:t>
      </w:r>
      <w:r w:rsidRPr="00F67579">
        <w:rPr>
          <w:rFonts w:cstheme="minorHAnsi"/>
        </w:rPr>
        <w:t>, ASIC appeared to be less flexible with upcoming compliance obligations.</w:t>
      </w:r>
      <w:r w:rsidRPr="00635984">
        <w:rPr>
          <w:rFonts w:cstheme="minorHAnsi"/>
          <w:vertAlign w:val="superscript"/>
        </w:rPr>
        <w:footnoteReference w:id="51"/>
      </w:r>
      <w:r w:rsidRPr="00635984">
        <w:rPr>
          <w:rFonts w:cstheme="minorHAnsi"/>
        </w:rPr>
        <w:t xml:space="preserve"> </w:t>
      </w:r>
      <w:r w:rsidRPr="00F67579">
        <w:rPr>
          <w:rFonts w:cstheme="minorHAnsi"/>
        </w:rPr>
        <w:t xml:space="preserve">In response to this feedback, ASIC noted that it took a </w:t>
      </w:r>
      <w:r w:rsidR="001421E3">
        <w:rPr>
          <w:rFonts w:cstheme="minorHAnsi"/>
        </w:rPr>
        <w:t>reasonable</w:t>
      </w:r>
      <w:r w:rsidRPr="00F67579">
        <w:rPr>
          <w:rFonts w:cstheme="minorHAnsi"/>
        </w:rPr>
        <w:t xml:space="preserve"> approach when introducing the new reforms during October 2021.</w:t>
      </w:r>
      <w:r w:rsidRPr="00635984">
        <w:rPr>
          <w:rFonts w:cstheme="minorHAnsi"/>
          <w:vertAlign w:val="superscript"/>
        </w:rPr>
        <w:footnoteReference w:id="52"/>
      </w:r>
      <w:r w:rsidRPr="00635984">
        <w:rPr>
          <w:rFonts w:cstheme="minorHAnsi"/>
        </w:rPr>
        <w:t xml:space="preserve"> </w:t>
      </w:r>
      <w:r w:rsidRPr="00F67579">
        <w:rPr>
          <w:rFonts w:cstheme="minorHAnsi"/>
        </w:rPr>
        <w:t xml:space="preserve">This meant that entities would not be penalised for technical or inadvertent breaches, allowing </w:t>
      </w:r>
      <w:r w:rsidR="001421E3">
        <w:rPr>
          <w:rFonts w:cstheme="minorHAnsi"/>
        </w:rPr>
        <w:t>them</w:t>
      </w:r>
      <w:r w:rsidRPr="00F67579">
        <w:rPr>
          <w:rFonts w:cstheme="minorHAnsi"/>
        </w:rPr>
        <w:t xml:space="preserve"> time to address compliance issues. ASIC noted that it would ultimately enforce the law where entities were</w:t>
      </w:r>
      <w:r w:rsidR="00205FDD">
        <w:rPr>
          <w:rFonts w:cstheme="minorHAnsi"/>
        </w:rPr>
        <w:t xml:space="preserve"> causing harm or</w:t>
      </w:r>
      <w:r w:rsidRPr="00F67579">
        <w:rPr>
          <w:rFonts w:cstheme="minorHAnsi"/>
        </w:rPr>
        <w:t xml:space="preserve"> not acting in good faith.</w:t>
      </w:r>
      <w:r w:rsidRPr="00F67579" w:rsidDel="001D25B5">
        <w:rPr>
          <w:rFonts w:cstheme="minorHAnsi"/>
        </w:rPr>
        <w:t xml:space="preserve"> </w:t>
      </w:r>
    </w:p>
    <w:p w14:paraId="5E074B5A" w14:textId="5DF7671F" w:rsidR="004C4B0B" w:rsidRPr="00B6726A" w:rsidRDefault="004C4B0B" w:rsidP="004C4B0B">
      <w:pPr>
        <w:pStyle w:val="Heading4"/>
      </w:pPr>
      <w:r>
        <w:t xml:space="preserve">Support for </w:t>
      </w:r>
      <w:r w:rsidRPr="00826B9C">
        <w:t>d</w:t>
      </w:r>
      <w:r w:rsidRPr="00B6726A">
        <w:t>ecision</w:t>
      </w:r>
      <w:r w:rsidR="00EF40B0">
        <w:noBreakHyphen/>
      </w:r>
      <w:r w:rsidRPr="00B6726A">
        <w:t>making</w:t>
      </w:r>
    </w:p>
    <w:p w14:paraId="58E29A41" w14:textId="1AD50666" w:rsidR="004C4B0B" w:rsidRPr="00F67579" w:rsidRDefault="004C4B0B" w:rsidP="00975036">
      <w:pPr>
        <w:pStyle w:val="numberedtext"/>
        <w:numPr>
          <w:ilvl w:val="0"/>
          <w:numId w:val="19"/>
        </w:numPr>
        <w:ind w:left="573" w:hanging="573"/>
        <w:rPr>
          <w:rFonts w:cstheme="minorHAnsi"/>
        </w:rPr>
      </w:pPr>
      <w:r w:rsidRPr="00F67579">
        <w:rPr>
          <w:rFonts w:cstheme="minorHAnsi"/>
        </w:rPr>
        <w:t>When discussing decision</w:t>
      </w:r>
      <w:r w:rsidR="00EF40B0">
        <w:rPr>
          <w:rFonts w:cstheme="minorHAnsi"/>
        </w:rPr>
        <w:noBreakHyphen/>
      </w:r>
      <w:r w:rsidRPr="00F67579">
        <w:rPr>
          <w:rFonts w:cstheme="minorHAnsi"/>
        </w:rPr>
        <w:t>making at ASIC</w:t>
      </w:r>
      <w:r w:rsidR="00EF40B0">
        <w:rPr>
          <w:rFonts w:cstheme="minorHAnsi"/>
        </w:rPr>
        <w:t>’</w:t>
      </w:r>
      <w:r w:rsidRPr="00F67579">
        <w:rPr>
          <w:rFonts w:cstheme="minorHAnsi"/>
        </w:rPr>
        <w:t>s senior levels, executive directors and commissioners noted that ASIC manages a large number of activities and can be reluctant to make decisions to deprioritise.</w:t>
      </w:r>
      <w:r w:rsidRPr="00635984">
        <w:rPr>
          <w:rFonts w:cstheme="minorHAnsi"/>
          <w:vertAlign w:val="superscript"/>
        </w:rPr>
        <w:footnoteReference w:id="53"/>
      </w:r>
      <w:r w:rsidR="008537B7">
        <w:rPr>
          <w:rFonts w:cstheme="minorHAnsi"/>
        </w:rPr>
        <w:t xml:space="preserve"> </w:t>
      </w:r>
      <w:r w:rsidRPr="00F67579">
        <w:rPr>
          <w:rFonts w:cstheme="minorHAnsi"/>
        </w:rPr>
        <w:t>One executive director noted that if ASIC makes changes to its publicly communicated priorities this may carry reputational risk for ASIC and further, the market might take a negative cue that ASIC is less interested in a sector. The FRAA notes that ASIC is not expected</w:t>
      </w:r>
      <w:r w:rsidR="00205FDD">
        <w:rPr>
          <w:rFonts w:cstheme="minorHAnsi"/>
        </w:rPr>
        <w:t xml:space="preserve"> to</w:t>
      </w:r>
      <w:r w:rsidRPr="00F67579">
        <w:rPr>
          <w:rFonts w:cstheme="minorHAnsi"/>
        </w:rPr>
        <w:t xml:space="preserve"> prevent all risks to consumers and regulated entities and the breadth of its remit can make deprioritising difficult. </w:t>
      </w:r>
    </w:p>
    <w:p w14:paraId="0844924C" w14:textId="1278574D" w:rsidR="004C4B0B" w:rsidRPr="00F67579" w:rsidRDefault="004C4B0B" w:rsidP="00975036">
      <w:pPr>
        <w:pStyle w:val="numberedtext"/>
        <w:numPr>
          <w:ilvl w:val="0"/>
          <w:numId w:val="19"/>
        </w:numPr>
        <w:ind w:left="573" w:hanging="573"/>
        <w:rPr>
          <w:rFonts w:cstheme="minorHAnsi"/>
        </w:rPr>
      </w:pPr>
      <w:r w:rsidRPr="00F67579">
        <w:rPr>
          <w:rFonts w:cstheme="minorHAnsi"/>
        </w:rPr>
        <w:t>Feedback from executive directors noted that the Commission is more clearly expressing the areas where ASIC will not take action. One executive director noted that recent changes to ASIC</w:t>
      </w:r>
      <w:r w:rsidR="00EF40B0">
        <w:rPr>
          <w:rFonts w:cstheme="minorHAnsi"/>
        </w:rPr>
        <w:t>’</w:t>
      </w:r>
      <w:r w:rsidRPr="00F67579">
        <w:rPr>
          <w:rFonts w:cstheme="minorHAnsi"/>
        </w:rPr>
        <w:t xml:space="preserve">s governance structure will support the Commission with a </w:t>
      </w:r>
      <w:r w:rsidR="00EF40B0">
        <w:rPr>
          <w:rFonts w:cstheme="minorHAnsi"/>
        </w:rPr>
        <w:t>‘</w:t>
      </w:r>
      <w:r w:rsidRPr="00F67579">
        <w:rPr>
          <w:rFonts w:cstheme="minorHAnsi"/>
        </w:rPr>
        <w:t>whole</w:t>
      </w:r>
      <w:r w:rsidR="00EF40B0">
        <w:rPr>
          <w:rFonts w:cstheme="minorHAnsi"/>
        </w:rPr>
        <w:noBreakHyphen/>
      </w:r>
      <w:r w:rsidRPr="00F67579">
        <w:rPr>
          <w:rFonts w:cstheme="minorHAnsi"/>
        </w:rPr>
        <w:t>of</w:t>
      </w:r>
      <w:r w:rsidR="00EF40B0">
        <w:rPr>
          <w:rFonts w:cstheme="minorHAnsi"/>
        </w:rPr>
        <w:noBreakHyphen/>
      </w:r>
      <w:r w:rsidRPr="00F67579">
        <w:rPr>
          <w:rFonts w:cstheme="minorHAnsi"/>
        </w:rPr>
        <w:t>ASIC</w:t>
      </w:r>
      <w:r w:rsidR="00EF40B0">
        <w:rPr>
          <w:rFonts w:cstheme="minorHAnsi"/>
        </w:rPr>
        <w:t>’</w:t>
      </w:r>
      <w:r w:rsidRPr="00F67579">
        <w:rPr>
          <w:rFonts w:cstheme="minorHAnsi"/>
        </w:rPr>
        <w:t xml:space="preserve"> view of priorities which will improve ASIC</w:t>
      </w:r>
      <w:r w:rsidR="00EF40B0">
        <w:rPr>
          <w:rFonts w:cstheme="minorHAnsi"/>
        </w:rPr>
        <w:t>’</w:t>
      </w:r>
      <w:r w:rsidRPr="00F67579">
        <w:rPr>
          <w:rFonts w:cstheme="minorHAnsi"/>
        </w:rPr>
        <w:t xml:space="preserve">s ability to prioritise appropriately. Commissioners noted that ASIC was seeking to empower executive directors to make decisions in the new governance structure. </w:t>
      </w:r>
    </w:p>
    <w:p w14:paraId="49AD298D" w14:textId="4275C54F" w:rsidR="00E26C84" w:rsidRPr="00F67579" w:rsidRDefault="00E26C84" w:rsidP="00975036">
      <w:pPr>
        <w:pStyle w:val="numberedtext"/>
        <w:numPr>
          <w:ilvl w:val="0"/>
          <w:numId w:val="19"/>
        </w:numPr>
        <w:ind w:left="573" w:hanging="573"/>
        <w:rPr>
          <w:rFonts w:cstheme="minorHAnsi"/>
        </w:rPr>
      </w:pPr>
      <w:r w:rsidRPr="00F67579">
        <w:rPr>
          <w:rFonts w:cstheme="minorHAnsi"/>
        </w:rPr>
        <w:t>As part of ASIC</w:t>
      </w:r>
      <w:r w:rsidR="00EF40B0">
        <w:rPr>
          <w:rFonts w:cstheme="minorHAnsi"/>
        </w:rPr>
        <w:t>’</w:t>
      </w:r>
      <w:r w:rsidRPr="00F67579">
        <w:rPr>
          <w:rFonts w:cstheme="minorHAnsi"/>
        </w:rPr>
        <w:t>s annual review of its strategic planning process, ASIC identified a number of areas for improvement. The cumulative effect of ASIC</w:t>
      </w:r>
      <w:r w:rsidR="00EF40B0">
        <w:rPr>
          <w:rFonts w:cstheme="minorHAnsi"/>
        </w:rPr>
        <w:t>’</w:t>
      </w:r>
      <w:r w:rsidRPr="00F67579">
        <w:rPr>
          <w:rFonts w:cstheme="minorHAnsi"/>
        </w:rPr>
        <w:t>s initiatives should support the efficiency of ASIC</w:t>
      </w:r>
      <w:r w:rsidR="00EF40B0">
        <w:rPr>
          <w:rFonts w:cstheme="minorHAnsi"/>
        </w:rPr>
        <w:t>’</w:t>
      </w:r>
      <w:r w:rsidRPr="00F67579">
        <w:rPr>
          <w:rFonts w:cstheme="minorHAnsi"/>
        </w:rPr>
        <w:t>s decision</w:t>
      </w:r>
      <w:r w:rsidR="00EF40B0">
        <w:rPr>
          <w:rFonts w:cstheme="minorHAnsi"/>
        </w:rPr>
        <w:noBreakHyphen/>
      </w:r>
      <w:r w:rsidR="004C4B0B" w:rsidRPr="00F67579">
        <w:rPr>
          <w:rFonts w:cstheme="minorHAnsi"/>
        </w:rPr>
        <w:t>making.</w:t>
      </w:r>
      <w:r w:rsidRPr="00F67579">
        <w:rPr>
          <w:rFonts w:cstheme="minorHAnsi"/>
        </w:rPr>
        <w:t xml:space="preserve"> </w:t>
      </w:r>
    </w:p>
    <w:p w14:paraId="131FEC0E" w14:textId="36703BD8" w:rsidR="00E26C84" w:rsidRPr="00F67579" w:rsidRDefault="00E26C84" w:rsidP="00975036">
      <w:pPr>
        <w:pStyle w:val="numberedtext"/>
        <w:numPr>
          <w:ilvl w:val="0"/>
          <w:numId w:val="19"/>
        </w:numPr>
        <w:ind w:left="573" w:hanging="573"/>
        <w:rPr>
          <w:rFonts w:cstheme="minorHAnsi"/>
        </w:rPr>
      </w:pPr>
      <w:r w:rsidRPr="00F67579">
        <w:rPr>
          <w:rFonts w:cstheme="minorHAnsi"/>
        </w:rPr>
        <w:t xml:space="preserve">In 2022, ASIC began taking steps to integrate its budget process into its strategic planning process. This means that preliminary budgets, established before the business planning phase, reflect any changes to the allocation of the budget from the previous year from the outset of the strategic planning process. </w:t>
      </w:r>
      <w:r w:rsidR="004C4B0B" w:rsidRPr="00F67579">
        <w:rPr>
          <w:rFonts w:cstheme="minorHAnsi"/>
        </w:rPr>
        <w:t>This enables teams within ASIC</w:t>
      </w:r>
      <w:r w:rsidR="00EF40B0">
        <w:rPr>
          <w:rFonts w:cstheme="minorHAnsi"/>
        </w:rPr>
        <w:t>’</w:t>
      </w:r>
      <w:r w:rsidR="004C4B0B" w:rsidRPr="00F67579">
        <w:rPr>
          <w:rFonts w:cstheme="minorHAnsi"/>
        </w:rPr>
        <w:t>s groups to understand</w:t>
      </w:r>
      <w:r w:rsidRPr="00F67579">
        <w:rPr>
          <w:rFonts w:cstheme="minorHAnsi"/>
        </w:rPr>
        <w:t xml:space="preserve"> their realistic funding envelope to inform activity planning.</w:t>
      </w:r>
    </w:p>
    <w:p w14:paraId="4AAF82CB" w14:textId="1F028458" w:rsidR="00E26C84" w:rsidRPr="00F67579" w:rsidRDefault="00E26C84" w:rsidP="00975036">
      <w:pPr>
        <w:pStyle w:val="numberedtext"/>
        <w:numPr>
          <w:ilvl w:val="0"/>
          <w:numId w:val="19"/>
        </w:numPr>
        <w:ind w:left="573" w:hanging="573"/>
        <w:rPr>
          <w:rFonts w:cstheme="minorHAnsi"/>
        </w:rPr>
      </w:pPr>
      <w:r w:rsidRPr="00F67579">
        <w:rPr>
          <w:rFonts w:cstheme="minorHAnsi"/>
        </w:rPr>
        <w:t>ASIC will conduct intra</w:t>
      </w:r>
      <w:r w:rsidR="00EF40B0">
        <w:rPr>
          <w:rFonts w:cstheme="minorHAnsi"/>
        </w:rPr>
        <w:noBreakHyphen/>
      </w:r>
      <w:r w:rsidRPr="00F67579">
        <w:rPr>
          <w:rFonts w:cstheme="minorHAnsi"/>
        </w:rPr>
        <w:t xml:space="preserve">year budget allocation through periodic reforecasting and budget review to improve resource allocation. The Executive Committee will oversee the application </w:t>
      </w:r>
      <w:r w:rsidRPr="00F67579">
        <w:rPr>
          <w:rFonts w:cstheme="minorHAnsi"/>
        </w:rPr>
        <w:lastRenderedPageBreak/>
        <w:t>of any surplus funding to projects, potentially those that were not initially funded in the business planning phase and also track any overspend on projects.</w:t>
      </w:r>
    </w:p>
    <w:p w14:paraId="4A3977F1" w14:textId="25EA2F31" w:rsidR="004C4B0B" w:rsidRPr="00F67579" w:rsidRDefault="004C4B0B" w:rsidP="00975036">
      <w:pPr>
        <w:pStyle w:val="numberedtext"/>
        <w:numPr>
          <w:ilvl w:val="0"/>
          <w:numId w:val="19"/>
        </w:numPr>
        <w:ind w:left="573" w:hanging="573"/>
        <w:rPr>
          <w:rFonts w:cstheme="minorHAnsi"/>
        </w:rPr>
      </w:pPr>
      <w:r w:rsidRPr="00F67579">
        <w:rPr>
          <w:rFonts w:cstheme="minorHAnsi"/>
        </w:rPr>
        <w:t>ASIC has revised</w:t>
      </w:r>
      <w:r w:rsidR="00AB24AF">
        <w:rPr>
          <w:rFonts w:cstheme="minorHAnsi"/>
        </w:rPr>
        <w:t xml:space="preserve"> reporting</w:t>
      </w:r>
      <w:r w:rsidRPr="00F67579">
        <w:rPr>
          <w:rFonts w:cstheme="minorHAnsi"/>
        </w:rPr>
        <w:t xml:space="preserve"> </w:t>
      </w:r>
      <w:r w:rsidR="00AB24AF">
        <w:rPr>
          <w:rFonts w:cstheme="minorHAnsi"/>
        </w:rPr>
        <w:t>to</w:t>
      </w:r>
      <w:r w:rsidRPr="00F67579">
        <w:rPr>
          <w:rFonts w:cstheme="minorHAnsi"/>
        </w:rPr>
        <w:t xml:space="preserve"> the </w:t>
      </w:r>
      <w:r w:rsidR="00AB24AF" w:rsidRPr="00F67579">
        <w:rPr>
          <w:rFonts w:cstheme="minorHAnsi"/>
        </w:rPr>
        <w:t>Commission</w:t>
      </w:r>
      <w:r w:rsidR="00AB24AF">
        <w:rPr>
          <w:rFonts w:cstheme="minorHAnsi"/>
        </w:rPr>
        <w:t xml:space="preserve"> about the business</w:t>
      </w:r>
      <w:r w:rsidR="00EF40B0">
        <w:rPr>
          <w:rFonts w:cstheme="minorHAnsi"/>
        </w:rPr>
        <w:noBreakHyphen/>
      </w:r>
      <w:r w:rsidR="00AB24AF">
        <w:rPr>
          <w:rFonts w:cstheme="minorHAnsi"/>
        </w:rPr>
        <w:t>as</w:t>
      </w:r>
      <w:r w:rsidR="00EF40B0">
        <w:rPr>
          <w:rFonts w:cstheme="minorHAnsi"/>
        </w:rPr>
        <w:noBreakHyphen/>
      </w:r>
      <w:r w:rsidR="00AB24AF">
        <w:rPr>
          <w:rFonts w:cstheme="minorHAnsi"/>
        </w:rPr>
        <w:t>usual work that does not contribute directly to strategic priorities</w:t>
      </w:r>
      <w:r w:rsidRPr="00F67579">
        <w:rPr>
          <w:rFonts w:cstheme="minorHAnsi"/>
        </w:rPr>
        <w:t>. This has enabled the Commission</w:t>
      </w:r>
      <w:r w:rsidR="00A21928">
        <w:rPr>
          <w:rFonts w:cstheme="minorHAnsi"/>
        </w:rPr>
        <w:t xml:space="preserve"> </w:t>
      </w:r>
      <w:r w:rsidRPr="00F67579">
        <w:rPr>
          <w:rFonts w:cstheme="minorHAnsi"/>
        </w:rPr>
        <w:t xml:space="preserve">to consider whether ASIC should do more or less of </w:t>
      </w:r>
      <w:r w:rsidR="00DD4F8A">
        <w:rPr>
          <w:rFonts w:cstheme="minorHAnsi"/>
        </w:rPr>
        <w:t>this work</w:t>
      </w:r>
      <w:r w:rsidR="00CF219E">
        <w:rPr>
          <w:rFonts w:cstheme="minorHAnsi"/>
        </w:rPr>
        <w:t xml:space="preserve"> and whether more resources should be reallocated to support strategic priorities. </w:t>
      </w:r>
    </w:p>
    <w:p w14:paraId="19BB3C5C" w14:textId="5D258192" w:rsidR="004C4B0B" w:rsidRPr="00F67579" w:rsidRDefault="004C4B0B" w:rsidP="00975036">
      <w:pPr>
        <w:pStyle w:val="numberedtext"/>
        <w:numPr>
          <w:ilvl w:val="0"/>
          <w:numId w:val="19"/>
        </w:numPr>
        <w:ind w:left="573" w:hanging="573"/>
        <w:rPr>
          <w:rFonts w:cstheme="minorHAnsi"/>
        </w:rPr>
      </w:pPr>
      <w:r w:rsidRPr="00F67579">
        <w:rPr>
          <w:rFonts w:cstheme="minorHAnsi"/>
        </w:rPr>
        <w:t xml:space="preserve">During this </w:t>
      </w:r>
      <w:r w:rsidR="00FF1551">
        <w:rPr>
          <w:rFonts w:cstheme="minorHAnsi"/>
        </w:rPr>
        <w:t>r</w:t>
      </w:r>
      <w:r w:rsidRPr="00F67579">
        <w:rPr>
          <w:rFonts w:cstheme="minorHAnsi"/>
        </w:rPr>
        <w:t xml:space="preserve">eview the FRAA noted that ASIC does not maintain a clear view of an </w:t>
      </w:r>
      <w:r w:rsidR="009754FB">
        <w:rPr>
          <w:rFonts w:cstheme="minorHAnsi"/>
        </w:rPr>
        <w:t>organisation-wide</w:t>
      </w:r>
      <w:r w:rsidRPr="00F67579">
        <w:rPr>
          <w:rFonts w:cstheme="minorHAnsi"/>
        </w:rPr>
        <w:t xml:space="preserve"> set of critical priorities. The FRAA notes that this may impede</w:t>
      </w:r>
      <w:r w:rsidR="00F331FD">
        <w:rPr>
          <w:rFonts w:cstheme="minorHAnsi"/>
        </w:rPr>
        <w:t xml:space="preserve"> </w:t>
      </w:r>
      <w:r w:rsidRPr="00F67579">
        <w:rPr>
          <w:rFonts w:cstheme="minorHAnsi"/>
        </w:rPr>
        <w:t>ASIC</w:t>
      </w:r>
      <w:r w:rsidR="00EF40B0">
        <w:rPr>
          <w:rFonts w:cstheme="minorHAnsi"/>
        </w:rPr>
        <w:t>’</w:t>
      </w:r>
      <w:r w:rsidR="00F331FD">
        <w:rPr>
          <w:rFonts w:cstheme="minorHAnsi"/>
        </w:rPr>
        <w:t>s</w:t>
      </w:r>
      <w:r w:rsidR="00414A2D">
        <w:rPr>
          <w:rFonts w:cstheme="minorHAnsi"/>
        </w:rPr>
        <w:t xml:space="preserve"> ability to</w:t>
      </w:r>
      <w:r w:rsidRPr="00F67579">
        <w:rPr>
          <w:rFonts w:cstheme="minorHAnsi"/>
        </w:rPr>
        <w:t xml:space="preserve"> make trade</w:t>
      </w:r>
      <w:r w:rsidR="00EF40B0">
        <w:rPr>
          <w:rFonts w:cstheme="minorHAnsi"/>
        </w:rPr>
        <w:noBreakHyphen/>
      </w:r>
      <w:r w:rsidRPr="00F67579">
        <w:rPr>
          <w:rFonts w:cstheme="minorHAnsi"/>
        </w:rPr>
        <w:t>offs between competing priorities and therefore inhibit the efficiency of its decision</w:t>
      </w:r>
      <w:r w:rsidR="00EF40B0">
        <w:rPr>
          <w:rFonts w:cstheme="minorHAnsi"/>
        </w:rPr>
        <w:noBreakHyphen/>
      </w:r>
      <w:r w:rsidRPr="00F67579">
        <w:rPr>
          <w:rFonts w:cstheme="minorHAnsi"/>
        </w:rPr>
        <w:t>making. ASIC</w:t>
      </w:r>
      <w:r w:rsidR="00EF40B0">
        <w:rPr>
          <w:rFonts w:cstheme="minorHAnsi"/>
        </w:rPr>
        <w:t>’</w:t>
      </w:r>
      <w:r w:rsidRPr="00F67579">
        <w:rPr>
          <w:rFonts w:cstheme="minorHAnsi"/>
        </w:rPr>
        <w:t>s 2021</w:t>
      </w:r>
      <w:r w:rsidR="00E367D0">
        <w:t>–</w:t>
      </w:r>
      <w:r w:rsidRPr="00F67579">
        <w:rPr>
          <w:rFonts w:cstheme="minorHAnsi"/>
        </w:rPr>
        <w:t>25 Corporate Plan outlines 74 projects</w:t>
      </w:r>
      <w:r w:rsidR="001A53D1">
        <w:rPr>
          <w:rFonts w:cstheme="minorHAnsi"/>
        </w:rPr>
        <w:t xml:space="preserve"> (and additional sub projects)</w:t>
      </w:r>
      <w:r w:rsidRPr="00F67579">
        <w:rPr>
          <w:rFonts w:cstheme="minorHAnsi"/>
        </w:rPr>
        <w:t xml:space="preserve"> relating to </w:t>
      </w:r>
      <w:r w:rsidR="00090FF6">
        <w:rPr>
          <w:rFonts w:cstheme="minorHAnsi"/>
        </w:rPr>
        <w:t>4</w:t>
      </w:r>
      <w:r w:rsidR="00493DEE">
        <w:rPr>
          <w:rFonts w:cstheme="minorHAnsi"/>
        </w:rPr>
        <w:t xml:space="preserve"> external</w:t>
      </w:r>
      <w:r w:rsidRPr="00F67579">
        <w:rPr>
          <w:rFonts w:cstheme="minorHAnsi"/>
        </w:rPr>
        <w:t xml:space="preserve"> priorities but provides no sense of importance or expected completion.</w:t>
      </w:r>
      <w:r w:rsidRPr="00062E29">
        <w:rPr>
          <w:rFonts w:cstheme="minorHAnsi"/>
          <w:vertAlign w:val="superscript"/>
        </w:rPr>
        <w:footnoteReference w:id="54"/>
      </w:r>
    </w:p>
    <w:p w14:paraId="3F0746CD" w14:textId="305C614F" w:rsidR="004C4B0B" w:rsidRDefault="004C4B0B" w:rsidP="00975036">
      <w:pPr>
        <w:pStyle w:val="numberedtext"/>
        <w:numPr>
          <w:ilvl w:val="0"/>
          <w:numId w:val="19"/>
        </w:numPr>
        <w:ind w:left="573" w:hanging="573"/>
        <w:rPr>
          <w:rFonts w:cstheme="minorHAnsi"/>
        </w:rPr>
      </w:pPr>
      <w:r w:rsidRPr="00F67579">
        <w:rPr>
          <w:rFonts w:cstheme="minorHAnsi"/>
        </w:rPr>
        <w:t xml:space="preserve">The FRAA suggests that ASIC consider maintaining a clear view of the </w:t>
      </w:r>
      <w:r w:rsidR="009754FB">
        <w:rPr>
          <w:rFonts w:cstheme="minorHAnsi"/>
        </w:rPr>
        <w:t>organisation-wide</w:t>
      </w:r>
      <w:r w:rsidRPr="00F67579">
        <w:rPr>
          <w:rFonts w:cstheme="minorHAnsi"/>
        </w:rPr>
        <w:t xml:space="preserve"> priorities it considers critical and ensuring appropriate resources are allocated to these priorities. This would improve ASIC</w:t>
      </w:r>
      <w:r w:rsidR="00EF40B0">
        <w:rPr>
          <w:rFonts w:cstheme="minorHAnsi"/>
        </w:rPr>
        <w:t>’</w:t>
      </w:r>
      <w:r w:rsidRPr="00F67579">
        <w:rPr>
          <w:rFonts w:cstheme="minorHAnsi"/>
        </w:rPr>
        <w:t>s ability to trade</w:t>
      </w:r>
      <w:r w:rsidR="00EF40B0">
        <w:rPr>
          <w:rFonts w:cstheme="minorHAnsi"/>
        </w:rPr>
        <w:noBreakHyphen/>
      </w:r>
      <w:r w:rsidRPr="00F67579">
        <w:rPr>
          <w:rFonts w:cstheme="minorHAnsi"/>
        </w:rPr>
        <w:t>off or deprioritise non</w:t>
      </w:r>
      <w:r w:rsidR="00EF40B0">
        <w:rPr>
          <w:rFonts w:cstheme="minorHAnsi"/>
        </w:rPr>
        <w:noBreakHyphen/>
      </w:r>
      <w:r w:rsidRPr="00F67579">
        <w:rPr>
          <w:rFonts w:cstheme="minorHAnsi"/>
        </w:rPr>
        <w:t>critical activity when faced with emerging threats and harms while retaining focus on, and progressing, critical priorities.</w:t>
      </w:r>
    </w:p>
    <w:p w14:paraId="5977B34D" w14:textId="2A59F355" w:rsidR="003E79A6" w:rsidRDefault="00D35DEF" w:rsidP="00975036">
      <w:pPr>
        <w:pStyle w:val="numberedtext"/>
        <w:numPr>
          <w:ilvl w:val="0"/>
          <w:numId w:val="19"/>
        </w:numPr>
        <w:ind w:left="573" w:hanging="573"/>
        <w:rPr>
          <w:rFonts w:cstheme="minorHAnsi"/>
        </w:rPr>
      </w:pPr>
      <w:r>
        <w:rPr>
          <w:rFonts w:cstheme="minorHAnsi"/>
        </w:rPr>
        <w:t>The FRAA understands that ASIC is taking steps towards this in its 2022</w:t>
      </w:r>
      <w:r w:rsidR="00E367D0">
        <w:t>–</w:t>
      </w:r>
      <w:r>
        <w:rPr>
          <w:rFonts w:cstheme="minorHAnsi"/>
        </w:rPr>
        <w:t>26 planning cycle. ASIC has identified 8 core strategic projects which have their own governance structure to support ASIC</w:t>
      </w:r>
      <w:r w:rsidR="00EF40B0">
        <w:rPr>
          <w:rFonts w:cstheme="minorHAnsi"/>
        </w:rPr>
        <w:t>’</w:t>
      </w:r>
      <w:r>
        <w:rPr>
          <w:rFonts w:cstheme="minorHAnsi"/>
        </w:rPr>
        <w:t xml:space="preserve">s actions in relation to these. </w:t>
      </w:r>
      <w:r w:rsidR="00C363DD">
        <w:rPr>
          <w:rFonts w:cstheme="minorHAnsi"/>
        </w:rPr>
        <w:t>These projects will be set out in ASIC</w:t>
      </w:r>
      <w:r w:rsidR="00EF40B0">
        <w:rPr>
          <w:rFonts w:cstheme="minorHAnsi"/>
        </w:rPr>
        <w:t>’</w:t>
      </w:r>
      <w:r w:rsidR="00C363DD">
        <w:rPr>
          <w:rFonts w:cstheme="minorHAnsi"/>
        </w:rPr>
        <w:t>s 2022</w:t>
      </w:r>
      <w:r w:rsidR="00E367D0">
        <w:t>–</w:t>
      </w:r>
      <w:r w:rsidR="0051607E">
        <w:rPr>
          <w:rFonts w:cstheme="minorHAnsi"/>
        </w:rPr>
        <w:t>26 Corporate Plan. The FRAA will review ASIC</w:t>
      </w:r>
      <w:r w:rsidR="00EF40B0">
        <w:rPr>
          <w:rFonts w:cstheme="minorHAnsi"/>
        </w:rPr>
        <w:t>’</w:t>
      </w:r>
      <w:r w:rsidR="0051607E">
        <w:rPr>
          <w:rFonts w:cstheme="minorHAnsi"/>
        </w:rPr>
        <w:t xml:space="preserve">s progress on this initiative to focus on its critical </w:t>
      </w:r>
      <w:r w:rsidR="00E04D69">
        <w:rPr>
          <w:rFonts w:cstheme="minorHAnsi"/>
        </w:rPr>
        <w:t>priorities.</w:t>
      </w:r>
    </w:p>
    <w:p w14:paraId="373EB81E" w14:textId="3437BF1B" w:rsidR="00F97C80" w:rsidRPr="00D024EA" w:rsidRDefault="00F97C80" w:rsidP="00F97C80">
      <w:pPr>
        <w:pStyle w:val="Heading3"/>
      </w:pPr>
      <w:r w:rsidRPr="00EC6ED9">
        <w:t xml:space="preserve">Organisational capability: </w:t>
      </w:r>
      <w:r w:rsidRPr="00D024EA">
        <w:t>ASIC</w:t>
      </w:r>
      <w:r w:rsidR="00EF40B0">
        <w:t>’</w:t>
      </w:r>
      <w:r w:rsidRPr="00D024EA">
        <w:t>s staff and systems</w:t>
      </w:r>
      <w:r w:rsidRPr="00D024EA">
        <w:rPr>
          <w:rStyle w:val="CommentReference"/>
          <w:rFonts w:eastAsiaTheme="minorEastAsia"/>
        </w:rPr>
        <w:t xml:space="preserve"> </w:t>
      </w:r>
    </w:p>
    <w:p w14:paraId="05450286" w14:textId="228476D6" w:rsidR="00E26C84" w:rsidRDefault="00E26C84" w:rsidP="004C4B0B">
      <w:pPr>
        <w:pStyle w:val="Heading4"/>
        <w:rPr>
          <w:rFonts w:eastAsia="Yu Gothic Light"/>
        </w:rPr>
      </w:pPr>
      <w:r>
        <w:rPr>
          <w:rFonts w:eastAsia="Yu Gothic Light"/>
        </w:rPr>
        <w:t>Long</w:t>
      </w:r>
      <w:r w:rsidR="00EF40B0">
        <w:rPr>
          <w:rFonts w:eastAsia="Yu Gothic Light"/>
        </w:rPr>
        <w:noBreakHyphen/>
      </w:r>
      <w:r>
        <w:rPr>
          <w:rFonts w:eastAsia="Yu Gothic Light"/>
        </w:rPr>
        <w:t>term capability developmen</w:t>
      </w:r>
      <w:r w:rsidRPr="006675EF">
        <w:rPr>
          <w:rFonts w:eastAsia="Yu Gothic Light"/>
        </w:rPr>
        <w:t>t</w:t>
      </w:r>
    </w:p>
    <w:p w14:paraId="437E926A" w14:textId="282ED6C9" w:rsidR="00E26C84" w:rsidRPr="00F67579" w:rsidRDefault="00E26C84" w:rsidP="00975036">
      <w:pPr>
        <w:pStyle w:val="numberedtext"/>
        <w:numPr>
          <w:ilvl w:val="0"/>
          <w:numId w:val="19"/>
        </w:numPr>
        <w:ind w:left="573" w:hanging="573"/>
        <w:rPr>
          <w:rFonts w:cstheme="minorHAnsi"/>
        </w:rPr>
      </w:pPr>
      <w:r w:rsidRPr="00F67579">
        <w:rPr>
          <w:rFonts w:cstheme="minorHAnsi"/>
        </w:rPr>
        <w:t>ASIC staff and consumer advocacy bodies noted ASIC is better at identifying short</w:t>
      </w:r>
      <w:r w:rsidR="00EF40B0">
        <w:rPr>
          <w:rFonts w:cstheme="minorHAnsi"/>
        </w:rPr>
        <w:noBreakHyphen/>
      </w:r>
      <w:r w:rsidRPr="00F67579">
        <w:rPr>
          <w:rFonts w:cstheme="minorHAnsi"/>
        </w:rPr>
        <w:t xml:space="preserve">term </w:t>
      </w:r>
      <w:r w:rsidR="00660CA3">
        <w:rPr>
          <w:rFonts w:cstheme="minorHAnsi"/>
        </w:rPr>
        <w:t xml:space="preserve">regulatory </w:t>
      </w:r>
      <w:r w:rsidRPr="00F67579">
        <w:rPr>
          <w:rFonts w:cstheme="minorHAnsi"/>
        </w:rPr>
        <w:t>priorities than long</w:t>
      </w:r>
      <w:r w:rsidR="00EF40B0">
        <w:rPr>
          <w:rFonts w:cstheme="minorHAnsi"/>
        </w:rPr>
        <w:noBreakHyphen/>
      </w:r>
      <w:r w:rsidRPr="00F67579">
        <w:rPr>
          <w:rFonts w:cstheme="minorHAnsi"/>
        </w:rPr>
        <w:t xml:space="preserve">term priorities. </w:t>
      </w:r>
      <w:r w:rsidR="00FB5E09">
        <w:rPr>
          <w:rFonts w:cstheme="minorHAnsi"/>
        </w:rPr>
        <w:t>Consumer advocacy bodies involved in the ACCP also noted that the panel held a short</w:t>
      </w:r>
      <w:r w:rsidR="00EF40B0">
        <w:rPr>
          <w:rFonts w:cstheme="minorHAnsi"/>
        </w:rPr>
        <w:noBreakHyphen/>
      </w:r>
      <w:r w:rsidR="00D21974">
        <w:rPr>
          <w:rFonts w:cstheme="minorHAnsi"/>
        </w:rPr>
        <w:t>term focus on matters.</w:t>
      </w:r>
      <w:r w:rsidR="00BC6524" w:rsidRPr="00062E29">
        <w:rPr>
          <w:rFonts w:cstheme="minorHAnsi"/>
          <w:vertAlign w:val="superscript"/>
        </w:rPr>
        <w:footnoteReference w:id="55"/>
      </w:r>
      <w:r w:rsidR="00D21974">
        <w:rPr>
          <w:rFonts w:cstheme="minorHAnsi"/>
        </w:rPr>
        <w:t xml:space="preserve"> </w:t>
      </w:r>
      <w:r w:rsidR="00A958D1">
        <w:rPr>
          <w:rFonts w:cstheme="minorHAnsi"/>
        </w:rPr>
        <w:t>Sixty</w:t>
      </w:r>
      <w:r w:rsidR="00EF40B0">
        <w:rPr>
          <w:rFonts w:cstheme="minorHAnsi"/>
        </w:rPr>
        <w:noBreakHyphen/>
      </w:r>
      <w:r w:rsidR="00A958D1">
        <w:rPr>
          <w:rFonts w:cstheme="minorHAnsi"/>
        </w:rPr>
        <w:t>seve</w:t>
      </w:r>
      <w:r w:rsidR="00905F9D">
        <w:rPr>
          <w:rFonts w:cstheme="minorHAnsi"/>
        </w:rPr>
        <w:t>n per</w:t>
      </w:r>
      <w:r w:rsidR="0053588C">
        <w:rPr>
          <w:rFonts w:cstheme="minorHAnsi"/>
        </w:rPr>
        <w:t xml:space="preserve"> </w:t>
      </w:r>
      <w:r w:rsidR="00905F9D">
        <w:rPr>
          <w:rFonts w:cstheme="minorHAnsi"/>
        </w:rPr>
        <w:t xml:space="preserve">cent </w:t>
      </w:r>
      <w:r w:rsidRPr="00F67579">
        <w:rPr>
          <w:rFonts w:cstheme="minorHAnsi"/>
        </w:rPr>
        <w:t xml:space="preserve">of ASIC staff agreed that ASIC is effective in identifying </w:t>
      </w:r>
      <w:r w:rsidR="00905F9D">
        <w:rPr>
          <w:rFonts w:cstheme="minorHAnsi"/>
        </w:rPr>
        <w:t>threats and harms</w:t>
      </w:r>
      <w:r w:rsidRPr="00F67579">
        <w:rPr>
          <w:rFonts w:cstheme="minorHAnsi"/>
        </w:rPr>
        <w:t xml:space="preserve"> for the coming 6</w:t>
      </w:r>
      <w:r w:rsidR="00EF40B0">
        <w:rPr>
          <w:rFonts w:cstheme="minorHAnsi"/>
        </w:rPr>
        <w:noBreakHyphen/>
      </w:r>
      <w:r w:rsidRPr="00F67579">
        <w:rPr>
          <w:rFonts w:cstheme="minorHAnsi"/>
        </w:rPr>
        <w:t>12 months, while only 4</w:t>
      </w:r>
      <w:r w:rsidR="00937CB5">
        <w:rPr>
          <w:rFonts w:cstheme="minorHAnsi"/>
        </w:rPr>
        <w:t>9</w:t>
      </w:r>
      <w:r w:rsidRPr="00F67579">
        <w:rPr>
          <w:rFonts w:cstheme="minorHAnsi"/>
        </w:rPr>
        <w:t xml:space="preserve">% agreed that ASIC is effective in identifying </w:t>
      </w:r>
      <w:r w:rsidR="00937CB5">
        <w:rPr>
          <w:rFonts w:cstheme="minorHAnsi"/>
        </w:rPr>
        <w:t xml:space="preserve">threats and harms </w:t>
      </w:r>
      <w:r w:rsidRPr="00F67579">
        <w:rPr>
          <w:rFonts w:cstheme="minorHAnsi"/>
        </w:rPr>
        <w:t>for the coming 1</w:t>
      </w:r>
      <w:r w:rsidR="00EF40B0">
        <w:rPr>
          <w:rFonts w:cstheme="minorHAnsi"/>
        </w:rPr>
        <w:noBreakHyphen/>
      </w:r>
      <w:r w:rsidRPr="00F67579">
        <w:rPr>
          <w:rFonts w:cstheme="minorHAnsi"/>
        </w:rPr>
        <w:t>3 years.</w:t>
      </w:r>
      <w:r w:rsidRPr="00062E29">
        <w:rPr>
          <w:rFonts w:cstheme="minorHAnsi"/>
          <w:vertAlign w:val="superscript"/>
        </w:rPr>
        <w:footnoteReference w:id="56"/>
      </w:r>
    </w:p>
    <w:p w14:paraId="69C3CE23" w14:textId="6ED247F4" w:rsidR="004C4B0B" w:rsidRPr="00F67579" w:rsidRDefault="00111B85" w:rsidP="00975036">
      <w:pPr>
        <w:pStyle w:val="numberedtext"/>
        <w:numPr>
          <w:ilvl w:val="0"/>
          <w:numId w:val="19"/>
        </w:numPr>
        <w:ind w:left="573" w:hanging="573"/>
        <w:rPr>
          <w:rFonts w:cstheme="minorHAnsi"/>
        </w:rPr>
      </w:pPr>
      <w:r>
        <w:rPr>
          <w:rFonts w:cstheme="minorHAnsi"/>
        </w:rPr>
        <w:t>C</w:t>
      </w:r>
      <w:r w:rsidR="004C4B0B" w:rsidRPr="00F67579">
        <w:rPr>
          <w:rFonts w:cstheme="minorHAnsi"/>
        </w:rPr>
        <w:t>ommissioner and executive director interviews and focus group discussions noted</w:t>
      </w:r>
      <w:r w:rsidR="004C4B0B" w:rsidRPr="00F67579" w:rsidDel="001238AF">
        <w:rPr>
          <w:rFonts w:cstheme="minorHAnsi"/>
        </w:rPr>
        <w:t xml:space="preserve"> </w:t>
      </w:r>
      <w:r w:rsidR="004C4B0B" w:rsidRPr="00F67579">
        <w:rPr>
          <w:rFonts w:cstheme="minorHAnsi"/>
        </w:rPr>
        <w:t>that ASIC has historically focused on short</w:t>
      </w:r>
      <w:r w:rsidR="00EF40B0">
        <w:rPr>
          <w:rFonts w:cstheme="minorHAnsi"/>
        </w:rPr>
        <w:noBreakHyphen/>
      </w:r>
      <w:r w:rsidR="004C4B0B" w:rsidRPr="00F67579">
        <w:rPr>
          <w:rFonts w:cstheme="minorHAnsi"/>
        </w:rPr>
        <w:t>term regulatory initiatives to the detriment of long</w:t>
      </w:r>
      <w:r w:rsidR="00EF40B0">
        <w:rPr>
          <w:rFonts w:cstheme="minorHAnsi"/>
        </w:rPr>
        <w:noBreakHyphen/>
      </w:r>
      <w:r w:rsidR="004C4B0B" w:rsidRPr="00F67579">
        <w:rPr>
          <w:rFonts w:cstheme="minorHAnsi"/>
        </w:rPr>
        <w:t>term organisational priorities. This may have affected ASIC</w:t>
      </w:r>
      <w:r w:rsidR="00EF40B0">
        <w:rPr>
          <w:rFonts w:cstheme="minorHAnsi"/>
        </w:rPr>
        <w:t>’</w:t>
      </w:r>
      <w:r w:rsidR="004C4B0B" w:rsidRPr="00F67579">
        <w:rPr>
          <w:rFonts w:cstheme="minorHAnsi"/>
        </w:rPr>
        <w:t>s effectiveness and capability in delivering regulatory outcomes in the longer term. This has contributed to ASIC</w:t>
      </w:r>
      <w:r w:rsidR="00EF40B0">
        <w:rPr>
          <w:rFonts w:cstheme="minorHAnsi"/>
        </w:rPr>
        <w:t>’</w:t>
      </w:r>
      <w:r w:rsidR="004C4B0B" w:rsidRPr="00F67579">
        <w:rPr>
          <w:rFonts w:cstheme="minorHAnsi"/>
        </w:rPr>
        <w:t>s underinvestment in its data and technology capability in past capital expenditure budgets.</w:t>
      </w:r>
      <w:r w:rsidR="00FE2548">
        <w:rPr>
          <w:rStyle w:val="FootnoteReference"/>
          <w:rFonts w:cstheme="minorHAnsi"/>
        </w:rPr>
        <w:footnoteReference w:id="57"/>
      </w:r>
      <w:r w:rsidR="004C4B0B" w:rsidRPr="00F67579">
        <w:rPr>
          <w:rFonts w:cstheme="minorHAnsi"/>
        </w:rPr>
        <w:t xml:space="preserve"> Executive directors and focus groups noted uncertainty in </w:t>
      </w:r>
      <w:r w:rsidR="004C4B0B" w:rsidRPr="00F67579" w:rsidDel="00FD3586">
        <w:rPr>
          <w:rFonts w:cstheme="minorHAnsi"/>
        </w:rPr>
        <w:t>ASIC</w:t>
      </w:r>
      <w:r w:rsidR="00EF40B0">
        <w:rPr>
          <w:rFonts w:cstheme="minorHAnsi"/>
        </w:rPr>
        <w:t>’</w:t>
      </w:r>
      <w:r w:rsidR="004C4B0B" w:rsidRPr="00F67579" w:rsidDel="00FD3586">
        <w:rPr>
          <w:rFonts w:cstheme="minorHAnsi"/>
        </w:rPr>
        <w:t xml:space="preserve">s </w:t>
      </w:r>
      <w:r w:rsidR="004C4B0B" w:rsidRPr="00F67579">
        <w:rPr>
          <w:rFonts w:cstheme="minorHAnsi"/>
        </w:rPr>
        <w:t>operating environment made long</w:t>
      </w:r>
      <w:r w:rsidR="00EF40B0">
        <w:rPr>
          <w:rFonts w:cstheme="minorHAnsi"/>
        </w:rPr>
        <w:noBreakHyphen/>
      </w:r>
      <w:r w:rsidR="004C4B0B" w:rsidRPr="00F67579">
        <w:rPr>
          <w:rFonts w:cstheme="minorHAnsi"/>
        </w:rPr>
        <w:t>term planning difficult.</w:t>
      </w:r>
      <w:r w:rsidR="004C4B0B" w:rsidRPr="00062E29">
        <w:rPr>
          <w:rFonts w:cstheme="minorHAnsi"/>
          <w:vertAlign w:val="superscript"/>
        </w:rPr>
        <w:footnoteReference w:id="58"/>
      </w:r>
    </w:p>
    <w:p w14:paraId="17C8088F" w14:textId="4B0CF08A" w:rsidR="004C4B0B" w:rsidRPr="00F67579" w:rsidRDefault="004C4B0B" w:rsidP="00975036">
      <w:pPr>
        <w:pStyle w:val="numberedtext"/>
        <w:numPr>
          <w:ilvl w:val="0"/>
          <w:numId w:val="19"/>
        </w:numPr>
        <w:ind w:left="573" w:hanging="573"/>
        <w:rPr>
          <w:rFonts w:cstheme="minorHAnsi"/>
        </w:rPr>
      </w:pPr>
      <w:r w:rsidRPr="00F67579">
        <w:rPr>
          <w:rFonts w:cstheme="minorHAnsi"/>
        </w:rPr>
        <w:lastRenderedPageBreak/>
        <w:t xml:space="preserve">As a result, ASIC may not have always prioritised investment </w:t>
      </w:r>
      <w:r w:rsidR="009A2C1E">
        <w:rPr>
          <w:rFonts w:cstheme="minorHAnsi"/>
        </w:rPr>
        <w:t>in organisational</w:t>
      </w:r>
      <w:r w:rsidRPr="00F67579">
        <w:rPr>
          <w:rFonts w:cstheme="minorHAnsi"/>
        </w:rPr>
        <w:t xml:space="preserve"> capabilities.</w:t>
      </w:r>
      <w:r w:rsidRPr="00062E29">
        <w:rPr>
          <w:rFonts w:cstheme="minorHAnsi"/>
          <w:vertAlign w:val="superscript"/>
        </w:rPr>
        <w:footnoteReference w:id="59"/>
      </w:r>
      <w:r w:rsidR="008537B7" w:rsidRPr="00062E29">
        <w:rPr>
          <w:rFonts w:cstheme="minorHAnsi"/>
        </w:rPr>
        <w:t xml:space="preserve"> </w:t>
      </w:r>
      <w:r w:rsidRPr="00F67579">
        <w:rPr>
          <w:rFonts w:cstheme="minorHAnsi"/>
        </w:rPr>
        <w:t>Only 34% of ASIC staff agreed that ASIC has appropriate technology to identify and prioritise threats and harms, and opportunities and innovations.</w:t>
      </w:r>
      <w:r w:rsidRPr="00062E29">
        <w:rPr>
          <w:rFonts w:cstheme="minorHAnsi"/>
          <w:vertAlign w:val="superscript"/>
        </w:rPr>
        <w:footnoteReference w:id="60"/>
      </w:r>
      <w:r w:rsidRPr="00F67579">
        <w:rPr>
          <w:rFonts w:cstheme="minorHAnsi"/>
        </w:rPr>
        <w:t xml:space="preserve">  </w:t>
      </w:r>
    </w:p>
    <w:p w14:paraId="6FFD0261" w14:textId="12CB36F1" w:rsidR="004C4B0B" w:rsidRPr="00F67579" w:rsidRDefault="004C4B0B" w:rsidP="00975036">
      <w:pPr>
        <w:pStyle w:val="numberedtext"/>
        <w:numPr>
          <w:ilvl w:val="0"/>
          <w:numId w:val="19"/>
        </w:numPr>
        <w:ind w:left="573" w:hanging="573"/>
        <w:rPr>
          <w:rFonts w:cstheme="minorHAnsi"/>
        </w:rPr>
      </w:pPr>
      <w:r w:rsidRPr="00F67579">
        <w:rPr>
          <w:rFonts w:cstheme="minorHAnsi"/>
        </w:rPr>
        <w:t xml:space="preserve">In the </w:t>
      </w:r>
      <w:r w:rsidR="004B762D">
        <w:rPr>
          <w:rFonts w:cstheme="minorHAnsi"/>
        </w:rPr>
        <w:t>20</w:t>
      </w:r>
      <w:r w:rsidRPr="00F67579">
        <w:rPr>
          <w:rFonts w:cstheme="minorHAnsi"/>
        </w:rPr>
        <w:t>22</w:t>
      </w:r>
      <w:r w:rsidR="004B762D">
        <w:rPr>
          <w:rFonts w:cstheme="minorHAnsi"/>
        </w:rPr>
        <w:t>–</w:t>
      </w:r>
      <w:r w:rsidRPr="00F67579">
        <w:rPr>
          <w:rFonts w:cstheme="minorHAnsi"/>
        </w:rPr>
        <w:t>23 strategic planning process, ASIC shifted its strategic priorities from one year to a longer</w:t>
      </w:r>
      <w:r w:rsidR="00EF40B0">
        <w:rPr>
          <w:rFonts w:cstheme="minorHAnsi"/>
        </w:rPr>
        <w:noBreakHyphen/>
      </w:r>
      <w:r w:rsidRPr="00F67579">
        <w:rPr>
          <w:rFonts w:cstheme="minorHAnsi"/>
        </w:rPr>
        <w:t>term horizon of 4 years, which will encourage a long</w:t>
      </w:r>
      <w:r w:rsidR="00EF40B0">
        <w:rPr>
          <w:rFonts w:cstheme="minorHAnsi"/>
        </w:rPr>
        <w:noBreakHyphen/>
      </w:r>
      <w:r w:rsidRPr="00F67579">
        <w:rPr>
          <w:rFonts w:cstheme="minorHAnsi"/>
        </w:rPr>
        <w:t>term approach to ASIC</w:t>
      </w:r>
      <w:r w:rsidR="00EF40B0">
        <w:rPr>
          <w:rFonts w:cstheme="minorHAnsi"/>
        </w:rPr>
        <w:t>’</w:t>
      </w:r>
      <w:r w:rsidRPr="00F67579">
        <w:rPr>
          <w:rFonts w:cstheme="minorHAnsi"/>
        </w:rPr>
        <w:t>s technological and staff capabilities. Longer</w:t>
      </w:r>
      <w:r w:rsidR="00EF40B0">
        <w:rPr>
          <w:rFonts w:cstheme="minorHAnsi"/>
        </w:rPr>
        <w:noBreakHyphen/>
      </w:r>
      <w:r w:rsidRPr="00F67579">
        <w:rPr>
          <w:rFonts w:cstheme="minorHAnsi"/>
        </w:rPr>
        <w:t>term strategic priority setting:</w:t>
      </w:r>
    </w:p>
    <w:p w14:paraId="5851386D" w14:textId="4EED3DB0" w:rsidR="004C4B0B" w:rsidRDefault="004B762D" w:rsidP="00AC2839">
      <w:pPr>
        <w:pStyle w:val="Bullet"/>
      </w:pPr>
      <w:r>
        <w:t>r</w:t>
      </w:r>
      <w:r w:rsidR="004C4B0B" w:rsidRPr="003A59C7">
        <w:t xml:space="preserve">eflects the time required to address significant </w:t>
      </w:r>
      <w:r w:rsidR="004C4B0B" w:rsidRPr="00AC2839">
        <w:t>strategic</w:t>
      </w:r>
      <w:r w:rsidR="004C4B0B" w:rsidRPr="003A59C7">
        <w:t xml:space="preserve"> issues and for ASIC</w:t>
      </w:r>
      <w:r w:rsidR="00EF40B0">
        <w:t>’</w:t>
      </w:r>
      <w:r w:rsidR="004C4B0B" w:rsidRPr="003A59C7">
        <w:t>s work to achieve the required impact</w:t>
      </w:r>
    </w:p>
    <w:p w14:paraId="3EEE8ABC" w14:textId="6AD82D5A" w:rsidR="004C4B0B" w:rsidRDefault="004B762D" w:rsidP="00AC2839">
      <w:pPr>
        <w:pStyle w:val="Bullet"/>
      </w:pPr>
      <w:r>
        <w:t>c</w:t>
      </w:r>
      <w:r w:rsidR="004C4B0B">
        <w:t>onforms</w:t>
      </w:r>
      <w:r w:rsidR="004C4B0B" w:rsidRPr="003A59C7">
        <w:t xml:space="preserve"> to ASIC</w:t>
      </w:r>
      <w:r w:rsidR="00EF40B0">
        <w:t>’</w:t>
      </w:r>
      <w:r w:rsidR="004C4B0B" w:rsidRPr="003A59C7">
        <w:t>s funding timescale</w:t>
      </w:r>
    </w:p>
    <w:p w14:paraId="604D1FAB" w14:textId="2E6F138D" w:rsidR="004C4B0B" w:rsidRDefault="004B762D" w:rsidP="00AC2839">
      <w:pPr>
        <w:pStyle w:val="Bullet"/>
      </w:pPr>
      <w:r>
        <w:t>a</w:t>
      </w:r>
      <w:r w:rsidR="004C4B0B">
        <w:t>llows g</w:t>
      </w:r>
      <w:r w:rsidR="004C4B0B" w:rsidRPr="003A59C7">
        <w:t xml:space="preserve">roups to align their activity </w:t>
      </w:r>
      <w:r w:rsidR="004C4B0B">
        <w:t xml:space="preserve">more efficiently </w:t>
      </w:r>
      <w:r w:rsidR="004C4B0B" w:rsidRPr="00AC2839">
        <w:t>with</w:t>
      </w:r>
      <w:r w:rsidR="004C4B0B" w:rsidRPr="003A59C7">
        <w:t xml:space="preserve"> strategic priorities, resourcing, and workforce trends</w:t>
      </w:r>
      <w:r w:rsidR="004C4B0B">
        <w:t xml:space="preserve">. </w:t>
      </w:r>
    </w:p>
    <w:p w14:paraId="09C4C701" w14:textId="77777777" w:rsidR="004C4B0B" w:rsidRPr="00F67579" w:rsidRDefault="004C4B0B" w:rsidP="00975036">
      <w:pPr>
        <w:pStyle w:val="numberedtext"/>
        <w:numPr>
          <w:ilvl w:val="0"/>
          <w:numId w:val="19"/>
        </w:numPr>
        <w:ind w:left="573" w:hanging="573"/>
        <w:rPr>
          <w:rFonts w:cstheme="minorHAnsi"/>
        </w:rPr>
      </w:pPr>
      <w:r w:rsidRPr="00F67579">
        <w:rPr>
          <w:rFonts w:cstheme="minorHAnsi"/>
        </w:rPr>
        <w:t xml:space="preserve">The FRAA is supportive of this initiative. </w:t>
      </w:r>
    </w:p>
    <w:p w14:paraId="5D1329B5" w14:textId="1123A439" w:rsidR="004C4B0B" w:rsidRPr="005115AE" w:rsidRDefault="00E904F6" w:rsidP="005115AE">
      <w:pPr>
        <w:pStyle w:val="Heading4"/>
      </w:pPr>
      <w:r w:rsidRPr="005115AE">
        <w:t>Data and technology</w:t>
      </w:r>
    </w:p>
    <w:p w14:paraId="4333F55F" w14:textId="0D21428B" w:rsidR="000D21B0" w:rsidRPr="00F67579" w:rsidRDefault="000D21B0" w:rsidP="00975036">
      <w:pPr>
        <w:pStyle w:val="numberedtext"/>
        <w:numPr>
          <w:ilvl w:val="0"/>
          <w:numId w:val="19"/>
        </w:numPr>
        <w:ind w:left="573" w:hanging="573"/>
        <w:rPr>
          <w:rFonts w:cstheme="minorHAnsi"/>
        </w:rPr>
      </w:pPr>
      <w:r w:rsidRPr="00F67579">
        <w:rPr>
          <w:rFonts w:cstheme="minorHAnsi"/>
        </w:rPr>
        <w:t xml:space="preserve">Richer and more granular datasets hold </w:t>
      </w:r>
      <w:r w:rsidR="004C4B0B" w:rsidRPr="00F67579">
        <w:rPr>
          <w:rFonts w:cstheme="minorHAnsi"/>
        </w:rPr>
        <w:t xml:space="preserve">the </w:t>
      </w:r>
      <w:r w:rsidRPr="00F67579">
        <w:rPr>
          <w:rFonts w:cstheme="minorHAnsi"/>
        </w:rPr>
        <w:t xml:space="preserve">potential to </w:t>
      </w:r>
      <w:r w:rsidR="004C4B0B" w:rsidRPr="00F67579">
        <w:rPr>
          <w:rFonts w:cstheme="minorHAnsi"/>
        </w:rPr>
        <w:t>enhance ASIC</w:t>
      </w:r>
      <w:r w:rsidR="00EF40B0">
        <w:rPr>
          <w:rFonts w:cstheme="minorHAnsi"/>
        </w:rPr>
        <w:t>’</w:t>
      </w:r>
      <w:r w:rsidR="004C4B0B" w:rsidRPr="00F67579">
        <w:rPr>
          <w:rFonts w:cstheme="minorHAnsi"/>
        </w:rPr>
        <w:t>s strategic prioritisation and planning processes.</w:t>
      </w:r>
      <w:r w:rsidRPr="00F67579">
        <w:rPr>
          <w:rFonts w:cstheme="minorHAnsi"/>
        </w:rPr>
        <w:t xml:space="preserve"> The lack of legislative power to collect granular recurrent data </w:t>
      </w:r>
      <w:r w:rsidR="004C4B0B" w:rsidRPr="00F67579">
        <w:rPr>
          <w:rFonts w:cstheme="minorHAnsi"/>
        </w:rPr>
        <w:t>from</w:t>
      </w:r>
      <w:r w:rsidRPr="00F67579">
        <w:rPr>
          <w:rFonts w:cstheme="minorHAnsi"/>
        </w:rPr>
        <w:t xml:space="preserve"> some sectors limit </w:t>
      </w:r>
      <w:r w:rsidR="004C4B0B" w:rsidRPr="00F67579">
        <w:rPr>
          <w:rFonts w:cstheme="minorHAnsi"/>
        </w:rPr>
        <w:t>ASIC</w:t>
      </w:r>
      <w:r w:rsidR="00EF40B0">
        <w:rPr>
          <w:rFonts w:cstheme="minorHAnsi"/>
        </w:rPr>
        <w:t>’</w:t>
      </w:r>
      <w:r w:rsidR="004C4B0B" w:rsidRPr="00F67579">
        <w:rPr>
          <w:rFonts w:cstheme="minorHAnsi"/>
        </w:rPr>
        <w:t xml:space="preserve">s ability to </w:t>
      </w:r>
      <w:r w:rsidRPr="00F67579">
        <w:rPr>
          <w:rFonts w:cstheme="minorHAnsi"/>
        </w:rPr>
        <w:t>take an even more proactive, forward</w:t>
      </w:r>
      <w:r w:rsidR="00EF40B0">
        <w:rPr>
          <w:rFonts w:cstheme="minorHAnsi"/>
        </w:rPr>
        <w:noBreakHyphen/>
      </w:r>
      <w:r w:rsidRPr="00F67579">
        <w:rPr>
          <w:rFonts w:cstheme="minorHAnsi"/>
        </w:rPr>
        <w:t>looking stance in addressing and preventing identified threats and harms</w:t>
      </w:r>
      <w:r w:rsidR="004C4B0B" w:rsidRPr="00F67579">
        <w:rPr>
          <w:rFonts w:cstheme="minorHAnsi"/>
        </w:rPr>
        <w:t xml:space="preserve"> and to make strategic judgements.</w:t>
      </w:r>
      <w:r w:rsidRPr="00F67579">
        <w:rPr>
          <w:rFonts w:cstheme="minorHAnsi"/>
        </w:rPr>
        <w:t xml:space="preserve"> </w:t>
      </w:r>
    </w:p>
    <w:p w14:paraId="3B591793" w14:textId="0C9FAF5B" w:rsidR="000D21B0" w:rsidRPr="00F67579" w:rsidRDefault="000D21B0" w:rsidP="00975036">
      <w:pPr>
        <w:pStyle w:val="numberedtext"/>
        <w:numPr>
          <w:ilvl w:val="0"/>
          <w:numId w:val="19"/>
        </w:numPr>
        <w:ind w:left="573" w:hanging="573"/>
        <w:rPr>
          <w:rFonts w:cstheme="minorHAnsi"/>
        </w:rPr>
      </w:pPr>
      <w:r w:rsidRPr="00F67579">
        <w:rPr>
          <w:rFonts w:cstheme="minorHAnsi"/>
        </w:rPr>
        <w:t>In ASIC</w:t>
      </w:r>
      <w:r w:rsidR="00EF40B0">
        <w:rPr>
          <w:rFonts w:cstheme="minorHAnsi"/>
        </w:rPr>
        <w:t>’</w:t>
      </w:r>
      <w:r w:rsidRPr="00F67579">
        <w:rPr>
          <w:rFonts w:cstheme="minorHAnsi"/>
        </w:rPr>
        <w:t>s strategic prioritisation, planning and decision</w:t>
      </w:r>
      <w:r w:rsidR="00EF40B0">
        <w:rPr>
          <w:rFonts w:cstheme="minorHAnsi"/>
        </w:rPr>
        <w:noBreakHyphen/>
      </w:r>
      <w:r w:rsidRPr="00F67579">
        <w:rPr>
          <w:rFonts w:cstheme="minorHAnsi"/>
        </w:rPr>
        <w:t xml:space="preserve">making processes, ASIC staff recognise that there is an opportunity for ASIC to better leverage insights from data and data analytics to inform its strategic assessments and prioritisation process. </w:t>
      </w:r>
    </w:p>
    <w:p w14:paraId="63EA48FA" w14:textId="581B071C" w:rsidR="000D21B0" w:rsidRPr="00B21EC7" w:rsidRDefault="00EF40B0" w:rsidP="0001492E">
      <w:pPr>
        <w:pStyle w:val="Quote"/>
      </w:pPr>
      <w:r>
        <w:t>‘</w:t>
      </w:r>
      <w:r w:rsidR="000D21B0" w:rsidRPr="00B21EC7">
        <w:t>We need to analyse data (</w:t>
      </w:r>
      <w:r w:rsidR="00390423">
        <w:t xml:space="preserve">for example </w:t>
      </w:r>
      <w:r w:rsidR="000D21B0" w:rsidRPr="00B21EC7">
        <w:t>complaints, breach reports, product performance) to identify trends and potential harms to justify where our focus should be directed.</w:t>
      </w:r>
      <w:r>
        <w:t>’</w:t>
      </w:r>
      <w:r w:rsidR="000D21B0" w:rsidRPr="00B21EC7">
        <w:t xml:space="preserve"> </w:t>
      </w:r>
      <w:r w:rsidR="00B6625C">
        <w:t xml:space="preserve">– </w:t>
      </w:r>
      <w:r w:rsidR="000D21B0" w:rsidRPr="00B21EC7">
        <w:t>Staff survey</w:t>
      </w:r>
    </w:p>
    <w:p w14:paraId="2DFE9236" w14:textId="2CC9A522" w:rsidR="00E26C84" w:rsidRPr="00F67579" w:rsidRDefault="00E26C84" w:rsidP="00975036">
      <w:pPr>
        <w:pStyle w:val="numberedtext"/>
        <w:numPr>
          <w:ilvl w:val="0"/>
          <w:numId w:val="19"/>
        </w:numPr>
        <w:ind w:left="573" w:hanging="573"/>
        <w:rPr>
          <w:rFonts w:cstheme="minorHAnsi"/>
        </w:rPr>
      </w:pPr>
      <w:r w:rsidRPr="00F67579">
        <w:rPr>
          <w:rFonts w:cstheme="minorHAnsi"/>
        </w:rPr>
        <w:t>ASIC</w:t>
      </w:r>
      <w:r w:rsidR="00EF40B0">
        <w:rPr>
          <w:rFonts w:cstheme="minorHAnsi"/>
        </w:rPr>
        <w:t>’</w:t>
      </w:r>
      <w:r w:rsidRPr="00F67579">
        <w:rPr>
          <w:rFonts w:cstheme="minorHAnsi"/>
        </w:rPr>
        <w:t>s current strategic prioritisation, planning and decision</w:t>
      </w:r>
      <w:r w:rsidR="00EF40B0">
        <w:rPr>
          <w:rFonts w:cstheme="minorHAnsi"/>
        </w:rPr>
        <w:noBreakHyphen/>
      </w:r>
      <w:r w:rsidRPr="00F67579">
        <w:rPr>
          <w:rFonts w:cstheme="minorHAnsi"/>
        </w:rPr>
        <w:t xml:space="preserve">making processes are perceived by some ASIC staff as reactive and short term in nature, because </w:t>
      </w:r>
      <w:r w:rsidR="004C4B0B" w:rsidRPr="00F67579">
        <w:rPr>
          <w:rFonts w:cstheme="minorHAnsi"/>
        </w:rPr>
        <w:t>they lack a comprehensive basis in data and evidence.</w:t>
      </w:r>
      <w:r w:rsidR="00D26C16">
        <w:rPr>
          <w:rStyle w:val="FootnoteReference"/>
          <w:rFonts w:cstheme="minorHAnsi"/>
        </w:rPr>
        <w:footnoteReference w:id="61"/>
      </w:r>
      <w:r w:rsidR="004C4B0B" w:rsidRPr="00F67579">
        <w:rPr>
          <w:rFonts w:cstheme="minorHAnsi"/>
        </w:rPr>
        <w:t xml:space="preserve"> ASIC acknowledges its data and IT capability require improvement.</w:t>
      </w:r>
      <w:r w:rsidR="004C4B0B" w:rsidRPr="00062E29">
        <w:rPr>
          <w:rFonts w:cstheme="minorHAnsi"/>
          <w:vertAlign w:val="superscript"/>
        </w:rPr>
        <w:footnoteReference w:id="62"/>
      </w:r>
      <w:r w:rsidR="004C4B0B" w:rsidRPr="00F67579">
        <w:rPr>
          <w:rFonts w:cstheme="minorHAnsi"/>
        </w:rPr>
        <w:t xml:space="preserve"> In responding to the FRAA</w:t>
      </w:r>
      <w:r w:rsidR="00EF40B0">
        <w:rPr>
          <w:rFonts w:cstheme="minorHAnsi"/>
        </w:rPr>
        <w:t>’</w:t>
      </w:r>
      <w:r w:rsidR="004C4B0B" w:rsidRPr="00F67579">
        <w:rPr>
          <w:rFonts w:cstheme="minorHAnsi"/>
        </w:rPr>
        <w:t>s survey of ASIC staff, some staff cited cultural factors such as risk aversion, siloed teams and a short</w:t>
      </w:r>
      <w:r w:rsidR="00EF40B0">
        <w:rPr>
          <w:rFonts w:cstheme="minorHAnsi"/>
        </w:rPr>
        <w:noBreakHyphen/>
      </w:r>
      <w:r w:rsidR="004C4B0B" w:rsidRPr="00F67579">
        <w:rPr>
          <w:rFonts w:cstheme="minorHAnsi"/>
        </w:rPr>
        <w:t>term focus</w:t>
      </w:r>
      <w:r w:rsidR="004C4B0B" w:rsidRPr="00F67579" w:rsidDel="00D112AE">
        <w:rPr>
          <w:rFonts w:cstheme="minorHAnsi"/>
        </w:rPr>
        <w:t xml:space="preserve"> </w:t>
      </w:r>
      <w:r w:rsidR="004C4B0B" w:rsidRPr="00F67579">
        <w:rPr>
          <w:rFonts w:cstheme="minorHAnsi"/>
        </w:rPr>
        <w:t>as the fundamental reason for the current low level of data and technology capability at ASIC. The negative sentiment expressed</w:t>
      </w:r>
      <w:r w:rsidR="009A3C92">
        <w:rPr>
          <w:rFonts w:cstheme="minorHAnsi"/>
        </w:rPr>
        <w:t xml:space="preserve"> by staff</w:t>
      </w:r>
      <w:r w:rsidR="004C4B0B" w:rsidRPr="00F67579">
        <w:rPr>
          <w:rFonts w:cstheme="minorHAnsi"/>
        </w:rPr>
        <w:t xml:space="preserve"> towards ASIC</w:t>
      </w:r>
      <w:r w:rsidR="00EF40B0">
        <w:rPr>
          <w:rFonts w:cstheme="minorHAnsi"/>
        </w:rPr>
        <w:t>’</w:t>
      </w:r>
      <w:r w:rsidR="004C4B0B" w:rsidRPr="00F67579">
        <w:rPr>
          <w:rFonts w:cstheme="minorHAnsi"/>
        </w:rPr>
        <w:t xml:space="preserve">s Customer Relationship Management </w:t>
      </w:r>
      <w:r w:rsidR="0031326C">
        <w:rPr>
          <w:rFonts w:cstheme="minorHAnsi"/>
        </w:rPr>
        <w:t>(CRM)</w:t>
      </w:r>
      <w:r w:rsidR="004C4B0B" w:rsidRPr="00F67579">
        <w:rPr>
          <w:rFonts w:cstheme="minorHAnsi"/>
        </w:rPr>
        <w:t xml:space="preserve"> platform demonstrates that ASIC staff </w:t>
      </w:r>
      <w:r w:rsidR="00035C97">
        <w:rPr>
          <w:rFonts w:cstheme="minorHAnsi"/>
        </w:rPr>
        <w:t xml:space="preserve">members </w:t>
      </w:r>
      <w:r w:rsidR="004C4B0B" w:rsidRPr="00F67579">
        <w:rPr>
          <w:rFonts w:cstheme="minorHAnsi"/>
        </w:rPr>
        <w:t>need to be supported when adopting new technology.</w:t>
      </w:r>
      <w:r w:rsidR="004C4B0B" w:rsidRPr="00062E29">
        <w:rPr>
          <w:rFonts w:cstheme="minorHAnsi"/>
          <w:vertAlign w:val="superscript"/>
        </w:rPr>
        <w:footnoteReference w:id="63"/>
      </w:r>
      <w:r w:rsidR="004C4B0B" w:rsidRPr="00062E29">
        <w:rPr>
          <w:rFonts w:cstheme="minorHAnsi"/>
        </w:rPr>
        <w:t xml:space="preserve"> </w:t>
      </w:r>
      <w:r w:rsidR="009A3C92">
        <w:rPr>
          <w:rFonts w:cstheme="minorHAnsi"/>
        </w:rPr>
        <w:t>ASIC</w:t>
      </w:r>
      <w:r w:rsidR="00EF40B0">
        <w:rPr>
          <w:rFonts w:cstheme="minorHAnsi"/>
        </w:rPr>
        <w:t>’</w:t>
      </w:r>
      <w:r w:rsidR="009A3C92">
        <w:rPr>
          <w:rFonts w:cstheme="minorHAnsi"/>
        </w:rPr>
        <w:t xml:space="preserve">s leadership needs to ensure staff </w:t>
      </w:r>
      <w:r w:rsidR="00035C97">
        <w:rPr>
          <w:rFonts w:cstheme="minorHAnsi"/>
        </w:rPr>
        <w:t xml:space="preserve">members </w:t>
      </w:r>
      <w:r w:rsidR="009A3C92">
        <w:rPr>
          <w:rFonts w:cstheme="minorHAnsi"/>
        </w:rPr>
        <w:t>are engaged early and often to scope, plan and execute new technology to ensure the user experience is considered and tested.</w:t>
      </w:r>
      <w:r w:rsidR="00AE46FD" w:rsidRPr="00F67579">
        <w:rPr>
          <w:rFonts w:cstheme="minorHAnsi"/>
        </w:rPr>
        <w:t xml:space="preserve"> </w:t>
      </w:r>
      <w:r w:rsidR="000D21B0" w:rsidRPr="00F67579">
        <w:rPr>
          <w:rFonts w:cstheme="minorHAnsi"/>
        </w:rPr>
        <w:t>Nonetheless, ASIC</w:t>
      </w:r>
      <w:r w:rsidR="00EF40B0">
        <w:rPr>
          <w:rFonts w:cstheme="minorHAnsi"/>
        </w:rPr>
        <w:t>’</w:t>
      </w:r>
      <w:r w:rsidR="000D21B0" w:rsidRPr="00F67579">
        <w:rPr>
          <w:rFonts w:cstheme="minorHAnsi"/>
        </w:rPr>
        <w:t>s Commission, executive directors and senior executive</w:t>
      </w:r>
      <w:r w:rsidRPr="00F67579">
        <w:rPr>
          <w:rFonts w:cstheme="minorHAnsi"/>
        </w:rPr>
        <w:t xml:space="preserve"> leaders believe ASIC has demonstrated its ability to translate data and technology investments to date into business outcomes and improvements.</w:t>
      </w:r>
    </w:p>
    <w:p w14:paraId="1A3BF0F8" w14:textId="64ABDE3C" w:rsidR="004C4B0B" w:rsidRPr="00F67579" w:rsidRDefault="004C4B0B" w:rsidP="00975036">
      <w:pPr>
        <w:pStyle w:val="numberedtext"/>
        <w:numPr>
          <w:ilvl w:val="0"/>
          <w:numId w:val="19"/>
        </w:numPr>
        <w:ind w:left="573" w:hanging="573"/>
        <w:rPr>
          <w:rFonts w:cstheme="minorHAnsi"/>
        </w:rPr>
      </w:pPr>
      <w:r w:rsidRPr="00F67579">
        <w:rPr>
          <w:rFonts w:cstheme="minorHAnsi"/>
        </w:rPr>
        <w:t>Consistent with Commission prioritisation and ASIC</w:t>
      </w:r>
      <w:r w:rsidR="00EF40B0">
        <w:rPr>
          <w:rFonts w:cstheme="minorHAnsi"/>
        </w:rPr>
        <w:t>’</w:t>
      </w:r>
      <w:r w:rsidRPr="00F67579">
        <w:rPr>
          <w:rFonts w:cstheme="minorHAnsi"/>
        </w:rPr>
        <w:t>s digital strategies, ASIC staff acknowledged that ASIC</w:t>
      </w:r>
      <w:r w:rsidR="00EF40B0">
        <w:rPr>
          <w:rFonts w:cstheme="minorHAnsi"/>
        </w:rPr>
        <w:t>’</w:t>
      </w:r>
      <w:r w:rsidRPr="00F67579">
        <w:rPr>
          <w:rFonts w:cstheme="minorHAnsi"/>
        </w:rPr>
        <w:t xml:space="preserve">s uplift </w:t>
      </w:r>
      <w:r w:rsidR="00BD6BF5">
        <w:rPr>
          <w:rFonts w:cstheme="minorHAnsi"/>
        </w:rPr>
        <w:t xml:space="preserve">in </w:t>
      </w:r>
      <w:r w:rsidRPr="00F67579">
        <w:rPr>
          <w:rFonts w:cstheme="minorHAnsi"/>
        </w:rPr>
        <w:t xml:space="preserve">data capabilities is crucial to enhancing and better informing strategic prioritisation and planning processes. There is confidence and support at senior levels of ASIC in the ability of newly or recently hired data and technology leaders to deliver on </w:t>
      </w:r>
      <w:r w:rsidRPr="00F67579">
        <w:rPr>
          <w:rFonts w:cstheme="minorHAnsi"/>
        </w:rPr>
        <w:lastRenderedPageBreak/>
        <w:t>ASIC</w:t>
      </w:r>
      <w:r w:rsidR="00EF40B0">
        <w:rPr>
          <w:rFonts w:cstheme="minorHAnsi"/>
        </w:rPr>
        <w:t>’</w:t>
      </w:r>
      <w:r w:rsidRPr="00F67579">
        <w:rPr>
          <w:rFonts w:cstheme="minorHAnsi"/>
        </w:rPr>
        <w:t>s capability uplift strategies. The FRAA</w:t>
      </w:r>
      <w:r w:rsidR="00EF40B0">
        <w:rPr>
          <w:rFonts w:cstheme="minorHAnsi"/>
        </w:rPr>
        <w:t>’</w:t>
      </w:r>
      <w:r w:rsidRPr="00F67579">
        <w:rPr>
          <w:rFonts w:cstheme="minorHAnsi"/>
        </w:rPr>
        <w:t>s view is that a cultural shift is required if ASIC is to realise its vision to become a digitally enabled regulator.</w:t>
      </w:r>
    </w:p>
    <w:p w14:paraId="4E5B740B" w14:textId="4040031A" w:rsidR="004C4B0B" w:rsidRPr="00F67579" w:rsidRDefault="004C4B0B" w:rsidP="00975036">
      <w:pPr>
        <w:pStyle w:val="numberedtext"/>
        <w:numPr>
          <w:ilvl w:val="0"/>
          <w:numId w:val="19"/>
        </w:numPr>
        <w:ind w:left="573" w:hanging="573"/>
        <w:rPr>
          <w:rFonts w:cstheme="minorHAnsi"/>
        </w:rPr>
      </w:pPr>
      <w:r w:rsidRPr="00F67579">
        <w:rPr>
          <w:rFonts w:cstheme="minorHAnsi"/>
        </w:rPr>
        <w:t>Some ASIC staff agree that improvements in technology systems will enable ASIC to better utilise data in its strategic prioritisation, planning and decision</w:t>
      </w:r>
      <w:r w:rsidR="00EF40B0">
        <w:rPr>
          <w:rFonts w:cstheme="minorHAnsi"/>
        </w:rPr>
        <w:noBreakHyphen/>
      </w:r>
      <w:r w:rsidRPr="00F67579">
        <w:rPr>
          <w:rFonts w:cstheme="minorHAnsi"/>
        </w:rPr>
        <w:t>making processes. Further, some ASIC staff recognise that ASIC</w:t>
      </w:r>
      <w:r w:rsidR="00EF40B0">
        <w:rPr>
          <w:rFonts w:cstheme="minorHAnsi"/>
        </w:rPr>
        <w:t>’</w:t>
      </w:r>
      <w:r w:rsidRPr="00F67579">
        <w:rPr>
          <w:rFonts w:cstheme="minorHAnsi"/>
        </w:rPr>
        <w:t>s current technology systems that support its strategic prioritisation processes are behind those of its large institutional regulated entities.</w:t>
      </w:r>
      <w:r w:rsidRPr="00062E29">
        <w:rPr>
          <w:rFonts w:cstheme="minorHAnsi"/>
          <w:vertAlign w:val="superscript"/>
        </w:rPr>
        <w:footnoteReference w:id="64"/>
      </w:r>
      <w:r w:rsidRPr="00062E29">
        <w:rPr>
          <w:rFonts w:cstheme="minorHAnsi"/>
        </w:rPr>
        <w:t xml:space="preserve"> </w:t>
      </w:r>
    </w:p>
    <w:p w14:paraId="257FB080" w14:textId="34AD8451" w:rsidR="004C4B0B" w:rsidRPr="001933F0" w:rsidRDefault="00EF40B0" w:rsidP="0001492E">
      <w:pPr>
        <w:pStyle w:val="Quote"/>
        <w:rPr>
          <w:b/>
        </w:rPr>
      </w:pPr>
      <w:r>
        <w:t>‘</w:t>
      </w:r>
      <w:r w:rsidR="004C4B0B" w:rsidRPr="009053F3">
        <w:t>Improvements are required in technology and access to real time data to enable ASIC to prioritise strategic prioritisation and planning activities.</w:t>
      </w:r>
      <w:r>
        <w:t>’</w:t>
      </w:r>
      <w:r w:rsidR="004C4B0B" w:rsidRPr="009053F3">
        <w:t xml:space="preserve"> </w:t>
      </w:r>
      <w:r w:rsidR="00662546">
        <w:t xml:space="preserve">– </w:t>
      </w:r>
      <w:r w:rsidR="004C4B0B" w:rsidRPr="009053F3">
        <w:t>Staff survey</w:t>
      </w:r>
    </w:p>
    <w:p w14:paraId="2EA2E48F" w14:textId="1ABD1723" w:rsidR="004C4B0B" w:rsidRPr="00F67579" w:rsidRDefault="004C4B0B" w:rsidP="00975036">
      <w:pPr>
        <w:pStyle w:val="numberedtext"/>
        <w:numPr>
          <w:ilvl w:val="0"/>
          <w:numId w:val="19"/>
        </w:numPr>
        <w:ind w:left="573" w:hanging="573"/>
        <w:rPr>
          <w:rFonts w:cstheme="minorHAnsi"/>
        </w:rPr>
      </w:pPr>
      <w:r w:rsidRPr="00F67579">
        <w:rPr>
          <w:rFonts w:cstheme="minorHAnsi"/>
        </w:rPr>
        <w:t xml:space="preserve">ASIC has made progress to uplift its data capabilities, hiring </w:t>
      </w:r>
      <w:r w:rsidR="004836CA">
        <w:rPr>
          <w:rFonts w:cstheme="minorHAnsi"/>
        </w:rPr>
        <w:t>a</w:t>
      </w:r>
      <w:r w:rsidR="004836CA" w:rsidRPr="00F67579">
        <w:rPr>
          <w:rFonts w:cstheme="minorHAnsi"/>
        </w:rPr>
        <w:t xml:space="preserve"> </w:t>
      </w:r>
      <w:r w:rsidR="004836CA">
        <w:rPr>
          <w:rFonts w:cstheme="minorHAnsi"/>
        </w:rPr>
        <w:t>C</w:t>
      </w:r>
      <w:r w:rsidRPr="00F67579">
        <w:rPr>
          <w:rFonts w:cstheme="minorHAnsi"/>
        </w:rPr>
        <w:t xml:space="preserve">hief </w:t>
      </w:r>
      <w:r w:rsidR="004836CA">
        <w:rPr>
          <w:rFonts w:cstheme="minorHAnsi"/>
        </w:rPr>
        <w:t>D</w:t>
      </w:r>
      <w:r w:rsidRPr="00F67579">
        <w:rPr>
          <w:rFonts w:cstheme="minorHAnsi"/>
        </w:rPr>
        <w:t xml:space="preserve">ata and </w:t>
      </w:r>
      <w:r w:rsidR="004836CA">
        <w:rPr>
          <w:rFonts w:cstheme="minorHAnsi"/>
        </w:rPr>
        <w:t>A</w:t>
      </w:r>
      <w:r w:rsidRPr="00F67579">
        <w:rPr>
          <w:rFonts w:cstheme="minorHAnsi"/>
        </w:rPr>
        <w:t xml:space="preserve">nalytics </w:t>
      </w:r>
      <w:r w:rsidR="004836CA">
        <w:rPr>
          <w:rFonts w:cstheme="minorHAnsi"/>
        </w:rPr>
        <w:t>O</w:t>
      </w:r>
      <w:r w:rsidRPr="00F67579">
        <w:rPr>
          <w:rFonts w:cstheme="minorHAnsi"/>
        </w:rPr>
        <w:t>fficer in February 2020, and establishing dedicated teams of specialists to build data and analytical capabilities within stakeholder and licensing teams.</w:t>
      </w:r>
      <w:r w:rsidRPr="00062E29">
        <w:rPr>
          <w:rFonts w:cstheme="minorHAnsi"/>
          <w:vertAlign w:val="superscript"/>
        </w:rPr>
        <w:footnoteReference w:id="65"/>
      </w:r>
      <w:r w:rsidRPr="00F67579">
        <w:rPr>
          <w:rFonts w:cstheme="minorHAnsi"/>
        </w:rPr>
        <w:t xml:space="preserve"> ASIC also introduced a digital lead role in February 2022 to focus on ASIC</w:t>
      </w:r>
      <w:r w:rsidR="00EF40B0">
        <w:rPr>
          <w:rFonts w:cstheme="minorHAnsi"/>
        </w:rPr>
        <w:t>’</w:t>
      </w:r>
      <w:r w:rsidRPr="00F67579">
        <w:rPr>
          <w:rFonts w:cstheme="minorHAnsi"/>
        </w:rPr>
        <w:t xml:space="preserve">s digital strategy, and </w:t>
      </w:r>
      <w:r w:rsidR="002E1B64">
        <w:rPr>
          <w:rFonts w:cstheme="minorHAnsi"/>
        </w:rPr>
        <w:t xml:space="preserve">the </w:t>
      </w:r>
      <w:r w:rsidRPr="00F67579">
        <w:rPr>
          <w:rFonts w:cstheme="minorHAnsi"/>
        </w:rPr>
        <w:t>StrategyDotZero</w:t>
      </w:r>
      <w:r w:rsidR="008D7A69">
        <w:rPr>
          <w:rFonts w:cstheme="minorHAnsi"/>
        </w:rPr>
        <w:t xml:space="preserve"> platform</w:t>
      </w:r>
      <w:r w:rsidRPr="00F67579">
        <w:rPr>
          <w:rFonts w:cstheme="minorHAnsi"/>
        </w:rPr>
        <w:t xml:space="preserve"> to provide better oversight of business plan deliverables. To support strategic decision</w:t>
      </w:r>
      <w:r w:rsidR="00EF40B0">
        <w:rPr>
          <w:rFonts w:cstheme="minorHAnsi"/>
        </w:rPr>
        <w:noBreakHyphen/>
      </w:r>
      <w:r w:rsidRPr="00F67579">
        <w:rPr>
          <w:rFonts w:cstheme="minorHAnsi"/>
        </w:rPr>
        <w:t>making and drive regulatory outcomes, data analytics capabilities need to be improved on an organisation</w:t>
      </w:r>
      <w:r w:rsidR="00EF40B0">
        <w:rPr>
          <w:rFonts w:cstheme="minorHAnsi"/>
        </w:rPr>
        <w:noBreakHyphen/>
      </w:r>
      <w:r w:rsidRPr="00F67579">
        <w:rPr>
          <w:rFonts w:cstheme="minorHAnsi"/>
        </w:rPr>
        <w:t>wide basis, taking a collaborative and holistic approach across teams and groups.</w:t>
      </w:r>
    </w:p>
    <w:p w14:paraId="3A27156C" w14:textId="788732F9" w:rsidR="004C4B0B" w:rsidRPr="00F67579" w:rsidRDefault="00087993" w:rsidP="00975036">
      <w:pPr>
        <w:pStyle w:val="numberedtext"/>
        <w:numPr>
          <w:ilvl w:val="0"/>
          <w:numId w:val="19"/>
        </w:numPr>
        <w:ind w:left="573" w:hanging="573"/>
        <w:rPr>
          <w:rFonts w:cstheme="minorHAnsi"/>
        </w:rPr>
      </w:pPr>
      <w:r>
        <w:rPr>
          <w:rFonts w:cstheme="minorHAnsi"/>
        </w:rPr>
        <w:t>ASIC</w:t>
      </w:r>
      <w:r w:rsidR="00EF40B0">
        <w:rPr>
          <w:rFonts w:cstheme="minorHAnsi"/>
        </w:rPr>
        <w:t>’</w:t>
      </w:r>
      <w:r>
        <w:rPr>
          <w:rFonts w:cstheme="minorHAnsi"/>
        </w:rPr>
        <w:t xml:space="preserve">s Digital Strategy 2030, </w:t>
      </w:r>
      <w:r w:rsidR="000B1AD9">
        <w:rPr>
          <w:rFonts w:cstheme="minorHAnsi"/>
        </w:rPr>
        <w:t>due to launch in August 2022, outlines</w:t>
      </w:r>
      <w:r w:rsidR="00E8391F">
        <w:rPr>
          <w:rFonts w:cstheme="minorHAnsi"/>
        </w:rPr>
        <w:t xml:space="preserve"> the framework for achieving ASIC</w:t>
      </w:r>
      <w:r w:rsidR="00EF40B0">
        <w:rPr>
          <w:rFonts w:cstheme="minorHAnsi"/>
        </w:rPr>
        <w:t>’</w:t>
      </w:r>
      <w:r w:rsidR="00E8391F">
        <w:rPr>
          <w:rFonts w:cstheme="minorHAnsi"/>
        </w:rPr>
        <w:t>s</w:t>
      </w:r>
      <w:r w:rsidR="00114FAD">
        <w:rPr>
          <w:rFonts w:cstheme="minorHAnsi"/>
        </w:rPr>
        <w:t xml:space="preserve"> data, cyber</w:t>
      </w:r>
      <w:r w:rsidR="00E73E61">
        <w:rPr>
          <w:rFonts w:cstheme="minorHAnsi"/>
        </w:rPr>
        <w:t xml:space="preserve"> </w:t>
      </w:r>
      <w:r w:rsidR="00114FAD">
        <w:rPr>
          <w:rFonts w:cstheme="minorHAnsi"/>
        </w:rPr>
        <w:t xml:space="preserve">security and technology priorities. </w:t>
      </w:r>
      <w:r w:rsidR="006B732A">
        <w:rPr>
          <w:rFonts w:cstheme="minorHAnsi"/>
        </w:rPr>
        <w:t xml:space="preserve">There is a need for cultural change towards new ways of working with technology, data and analytical tools to improve regulatory activities and outcomes. </w:t>
      </w:r>
      <w:r w:rsidR="004C4B0B" w:rsidRPr="00F67579">
        <w:rPr>
          <w:rFonts w:cstheme="minorHAnsi"/>
        </w:rPr>
        <w:t xml:space="preserve">During this </w:t>
      </w:r>
      <w:r w:rsidR="00FF1551">
        <w:rPr>
          <w:rFonts w:cstheme="minorHAnsi"/>
        </w:rPr>
        <w:t>r</w:t>
      </w:r>
      <w:r w:rsidR="004C4B0B" w:rsidRPr="00F67579">
        <w:rPr>
          <w:rFonts w:cstheme="minorHAnsi"/>
        </w:rPr>
        <w:t>eview the FRAA noted that not all senior leaders of ASIC embraced the initiatives</w:t>
      </w:r>
      <w:r w:rsidR="009A1D96">
        <w:rPr>
          <w:rFonts w:cstheme="minorHAnsi"/>
        </w:rPr>
        <w:t xml:space="preserve"> to</w:t>
      </w:r>
      <w:r w:rsidR="00EF40B0">
        <w:rPr>
          <w:rFonts w:cstheme="minorHAnsi"/>
        </w:rPr>
        <w:noBreakHyphen/>
      </w:r>
      <w:r w:rsidR="009A1D96">
        <w:rPr>
          <w:rFonts w:cstheme="minorHAnsi"/>
        </w:rPr>
        <w:t>date to</w:t>
      </w:r>
      <w:r w:rsidR="004C4B0B" w:rsidRPr="00F67579">
        <w:rPr>
          <w:rFonts w:cstheme="minorHAnsi"/>
        </w:rPr>
        <w:t xml:space="preserve"> uplift </w:t>
      </w:r>
      <w:r w:rsidR="009A1D96">
        <w:rPr>
          <w:rFonts w:cstheme="minorHAnsi"/>
        </w:rPr>
        <w:t xml:space="preserve">digital </w:t>
      </w:r>
      <w:r w:rsidR="004C4B0B" w:rsidRPr="00F67579">
        <w:rPr>
          <w:rFonts w:cstheme="minorHAnsi"/>
        </w:rPr>
        <w:t xml:space="preserve">capability. </w:t>
      </w:r>
    </w:p>
    <w:p w14:paraId="086D910D" w14:textId="77777777" w:rsidR="00E26C84" w:rsidRPr="008A6A12" w:rsidRDefault="00E26C84" w:rsidP="008A6A12">
      <w:pPr>
        <w:pStyle w:val="Heading3"/>
      </w:pPr>
      <w:bookmarkStart w:id="84" w:name="_Toc108786437"/>
      <w:r w:rsidRPr="008A6A12">
        <w:t>Transparency</w:t>
      </w:r>
      <w:bookmarkEnd w:id="84"/>
    </w:p>
    <w:p w14:paraId="6E6257C4" w14:textId="77777777" w:rsidR="00E26C84" w:rsidRPr="00B21EC7" w:rsidRDefault="00E26C84" w:rsidP="00D024EA">
      <w:pPr>
        <w:pStyle w:val="Heading4"/>
        <w:rPr>
          <w:rFonts w:eastAsia="Yu Gothic Light"/>
        </w:rPr>
      </w:pPr>
      <w:r w:rsidRPr="00D024EA">
        <w:rPr>
          <w:rFonts w:eastAsia="Yu Gothic Light"/>
        </w:rPr>
        <w:t>Priorities and activiti</w:t>
      </w:r>
      <w:r w:rsidRPr="00B21EC7">
        <w:rPr>
          <w:rFonts w:eastAsia="Yu Gothic Light"/>
        </w:rPr>
        <w:t>es are well understood by ASIC staff</w:t>
      </w:r>
    </w:p>
    <w:p w14:paraId="4DCDF54F" w14:textId="04FA39F7" w:rsidR="00E26C84" w:rsidRPr="00F67579" w:rsidRDefault="00E26C84" w:rsidP="00975036">
      <w:pPr>
        <w:pStyle w:val="numberedtext"/>
        <w:numPr>
          <w:ilvl w:val="0"/>
          <w:numId w:val="19"/>
        </w:numPr>
        <w:ind w:left="573" w:hanging="573"/>
        <w:rPr>
          <w:rFonts w:cstheme="minorHAnsi"/>
        </w:rPr>
      </w:pPr>
      <w:r w:rsidRPr="00F67579">
        <w:rPr>
          <w:rFonts w:cstheme="minorHAnsi"/>
        </w:rPr>
        <w:t>ASIC staff held a positive view of transparency. Seventy</w:t>
      </w:r>
      <w:r w:rsidR="00EF40B0">
        <w:rPr>
          <w:rFonts w:cstheme="minorHAnsi"/>
        </w:rPr>
        <w:noBreakHyphen/>
      </w:r>
      <w:r w:rsidRPr="00F67579">
        <w:rPr>
          <w:rFonts w:cstheme="minorHAnsi"/>
        </w:rPr>
        <w:t>seven per cent of ASIC staff agreed that they understood ASIC</w:t>
      </w:r>
      <w:r w:rsidR="00EF40B0">
        <w:rPr>
          <w:rFonts w:cstheme="minorHAnsi"/>
        </w:rPr>
        <w:t>’</w:t>
      </w:r>
      <w:r w:rsidRPr="00F67579">
        <w:rPr>
          <w:rFonts w:cstheme="minorHAnsi"/>
        </w:rPr>
        <w:t xml:space="preserve">s current strategic priorities as set out in its corporate plan </w:t>
      </w:r>
      <w:r w:rsidR="004C4B0B" w:rsidRPr="00F67579">
        <w:rPr>
          <w:rFonts w:cstheme="minorHAnsi"/>
        </w:rPr>
        <w:t>while</w:t>
      </w:r>
      <w:r w:rsidRPr="00F67579">
        <w:rPr>
          <w:rFonts w:cstheme="minorHAnsi"/>
        </w:rPr>
        <w:t xml:space="preserve"> 71% agreed that they understood how ASIC</w:t>
      </w:r>
      <w:r w:rsidR="00EF40B0">
        <w:rPr>
          <w:rFonts w:cstheme="minorHAnsi"/>
        </w:rPr>
        <w:t>’</w:t>
      </w:r>
      <w:r w:rsidRPr="00F67579">
        <w:rPr>
          <w:rFonts w:cstheme="minorHAnsi"/>
        </w:rPr>
        <w:t>s business plans related to its strategic priorities.</w:t>
      </w:r>
      <w:r w:rsidRPr="00062E29">
        <w:rPr>
          <w:rFonts w:cstheme="minorHAnsi"/>
          <w:vertAlign w:val="superscript"/>
        </w:rPr>
        <w:footnoteReference w:id="66"/>
      </w:r>
      <w:r w:rsidRPr="00062E29">
        <w:rPr>
          <w:rFonts w:cstheme="minorHAnsi"/>
        </w:rPr>
        <w:t xml:space="preserve"> </w:t>
      </w:r>
      <w:r w:rsidRPr="00F67579">
        <w:rPr>
          <w:rFonts w:cstheme="minorHAnsi"/>
        </w:rPr>
        <w:t>Further, 88% of staff agreed that their individual roles and responsibilities were clear.</w:t>
      </w:r>
      <w:r w:rsidRPr="00062E29">
        <w:rPr>
          <w:rFonts w:cstheme="minorHAnsi"/>
          <w:vertAlign w:val="superscript"/>
        </w:rPr>
        <w:footnoteReference w:id="67"/>
      </w:r>
      <w:r w:rsidRPr="00062E29">
        <w:rPr>
          <w:rFonts w:cstheme="minorHAnsi"/>
        </w:rPr>
        <w:t xml:space="preserve"> </w:t>
      </w:r>
    </w:p>
    <w:p w14:paraId="7148C252" w14:textId="77777777" w:rsidR="00E26C84" w:rsidRPr="000D21B0" w:rsidRDefault="00E26C84" w:rsidP="00D024EA">
      <w:pPr>
        <w:pStyle w:val="Heading4"/>
        <w:rPr>
          <w:rFonts w:ascii="Calibri Light" w:eastAsia="Yu Gothic Light" w:hAnsi="Calibri Light"/>
          <w:i/>
          <w:color w:val="2F5496"/>
          <w:lang w:eastAsia="en-US"/>
        </w:rPr>
      </w:pPr>
      <w:r w:rsidRPr="00D024EA">
        <w:rPr>
          <w:rFonts w:eastAsia="Yu Gothic Light"/>
        </w:rPr>
        <w:t>Proactive communication</w:t>
      </w:r>
    </w:p>
    <w:p w14:paraId="0F53AFD7" w14:textId="450343BE" w:rsidR="00E26C84" w:rsidRPr="00F67579" w:rsidRDefault="00E26C84" w:rsidP="00975036">
      <w:pPr>
        <w:pStyle w:val="numberedtext"/>
        <w:numPr>
          <w:ilvl w:val="0"/>
          <w:numId w:val="19"/>
        </w:numPr>
        <w:ind w:left="573" w:hanging="573"/>
        <w:rPr>
          <w:rFonts w:cstheme="minorHAnsi"/>
        </w:rPr>
      </w:pPr>
      <w:r w:rsidRPr="00F67579">
        <w:rPr>
          <w:rFonts w:cstheme="minorHAnsi"/>
        </w:rPr>
        <w:t>Industry stakeholders across regulated industries noted that ASIC</w:t>
      </w:r>
      <w:r w:rsidR="00EF40B0">
        <w:rPr>
          <w:rFonts w:cstheme="minorHAnsi"/>
        </w:rPr>
        <w:t>’</w:t>
      </w:r>
      <w:r w:rsidRPr="00F67579">
        <w:rPr>
          <w:rFonts w:cstheme="minorHAnsi"/>
        </w:rPr>
        <w:t>s communications have improved over recent years and now clearly outline priorities and activity.</w:t>
      </w:r>
      <w:r w:rsidRPr="00062E29">
        <w:rPr>
          <w:rFonts w:cstheme="minorHAnsi"/>
          <w:vertAlign w:val="superscript"/>
        </w:rPr>
        <w:footnoteReference w:id="68"/>
      </w:r>
      <w:r w:rsidRPr="00F67579">
        <w:rPr>
          <w:rFonts w:cstheme="minorHAnsi"/>
        </w:rPr>
        <w:t xml:space="preserve"> One public submission from the banking sector noted that ASIC</w:t>
      </w:r>
      <w:r w:rsidR="00EF40B0">
        <w:rPr>
          <w:rFonts w:cstheme="minorHAnsi"/>
        </w:rPr>
        <w:t>’</w:t>
      </w:r>
      <w:r w:rsidRPr="00F67579">
        <w:rPr>
          <w:rFonts w:cstheme="minorHAnsi"/>
        </w:rPr>
        <w:t>s published documents, particularly its Corporate Plan, are appropriate and serve to inform industry of upcoming activity.</w:t>
      </w:r>
      <w:r w:rsidRPr="00062E29">
        <w:rPr>
          <w:rFonts w:cstheme="minorHAnsi"/>
          <w:vertAlign w:val="superscript"/>
        </w:rPr>
        <w:footnoteReference w:id="69"/>
      </w:r>
      <w:r w:rsidRPr="00062E29">
        <w:rPr>
          <w:rFonts w:cstheme="minorHAnsi"/>
        </w:rPr>
        <w:t xml:space="preserve"> </w:t>
      </w:r>
    </w:p>
    <w:p w14:paraId="188D7BE3" w14:textId="5A6CF263" w:rsidR="00E26C84" w:rsidRPr="00F67579" w:rsidRDefault="00E26C84" w:rsidP="00975036">
      <w:pPr>
        <w:pStyle w:val="numberedtext"/>
        <w:numPr>
          <w:ilvl w:val="0"/>
          <w:numId w:val="19"/>
        </w:numPr>
        <w:ind w:left="573" w:hanging="573"/>
        <w:rPr>
          <w:rFonts w:cstheme="minorHAnsi"/>
        </w:rPr>
      </w:pPr>
      <w:r w:rsidRPr="00F67579">
        <w:rPr>
          <w:rFonts w:cstheme="minorHAnsi"/>
        </w:rPr>
        <w:t>Public submissions in legal, governance, superannuation, insurance, and restructuring were supportive of ASIC</w:t>
      </w:r>
      <w:r w:rsidR="00EF40B0">
        <w:rPr>
          <w:rFonts w:cstheme="minorHAnsi"/>
        </w:rPr>
        <w:t>’</w:t>
      </w:r>
      <w:r w:rsidRPr="00F67579">
        <w:rPr>
          <w:rFonts w:cstheme="minorHAnsi"/>
        </w:rPr>
        <w:t>s communications when responding to COVID</w:t>
      </w:r>
      <w:r w:rsidR="00EF40B0">
        <w:rPr>
          <w:rFonts w:cstheme="minorHAnsi"/>
        </w:rPr>
        <w:noBreakHyphen/>
      </w:r>
      <w:r w:rsidRPr="00F67579">
        <w:rPr>
          <w:rFonts w:cstheme="minorHAnsi"/>
        </w:rPr>
        <w:t>19.</w:t>
      </w:r>
      <w:r w:rsidRPr="00062E29">
        <w:rPr>
          <w:rFonts w:cstheme="minorHAnsi"/>
          <w:vertAlign w:val="superscript"/>
        </w:rPr>
        <w:footnoteReference w:id="70"/>
      </w:r>
      <w:r w:rsidRPr="00062E29">
        <w:rPr>
          <w:rFonts w:cstheme="minorHAnsi"/>
        </w:rPr>
        <w:t xml:space="preserve"> </w:t>
      </w:r>
      <w:r w:rsidRPr="00F67579">
        <w:rPr>
          <w:rFonts w:cstheme="minorHAnsi"/>
        </w:rPr>
        <w:t>In July 2021, ASIC published an interim Corporate Plan 2020</w:t>
      </w:r>
      <w:r w:rsidR="00C93854">
        <w:rPr>
          <w:rFonts w:cstheme="minorHAnsi"/>
        </w:rPr>
        <w:t>–</w:t>
      </w:r>
      <w:r w:rsidRPr="00F67579">
        <w:rPr>
          <w:rFonts w:cstheme="minorHAnsi"/>
        </w:rPr>
        <w:t xml:space="preserve">21 and a revised timetable for the priorities and activity that were underway before the pandemic. Stakeholders in the legal and banking </w:t>
      </w:r>
      <w:r w:rsidRPr="00F67579">
        <w:rPr>
          <w:rFonts w:cstheme="minorHAnsi"/>
        </w:rPr>
        <w:lastRenderedPageBreak/>
        <w:t>sectors commented that ASIC</w:t>
      </w:r>
      <w:r w:rsidR="00EF40B0">
        <w:rPr>
          <w:rFonts w:cstheme="minorHAnsi"/>
        </w:rPr>
        <w:t>’</w:t>
      </w:r>
      <w:r w:rsidRPr="00F67579">
        <w:rPr>
          <w:rFonts w:cstheme="minorHAnsi"/>
        </w:rPr>
        <w:t xml:space="preserve">s planning and communication enabled regulated entities to respond appropriately </w:t>
      </w:r>
      <w:r w:rsidR="004C4B0B" w:rsidRPr="00F67579">
        <w:rPr>
          <w:rFonts w:cstheme="minorHAnsi"/>
        </w:rPr>
        <w:t>during the pandemic</w:t>
      </w:r>
      <w:r w:rsidRPr="00F67579">
        <w:rPr>
          <w:rFonts w:cstheme="minorHAnsi"/>
        </w:rPr>
        <w:t>.</w:t>
      </w:r>
      <w:r w:rsidRPr="00062E29">
        <w:rPr>
          <w:rFonts w:cstheme="minorHAnsi"/>
          <w:vertAlign w:val="superscript"/>
        </w:rPr>
        <w:footnoteReference w:id="71"/>
      </w:r>
    </w:p>
    <w:p w14:paraId="06D67076" w14:textId="7E033CD7" w:rsidR="004C4B0B" w:rsidRPr="009053F3" w:rsidRDefault="00EF40B0" w:rsidP="0001492E">
      <w:pPr>
        <w:pStyle w:val="Quote"/>
        <w:rPr>
          <w:b/>
          <w:sz w:val="24"/>
          <w:szCs w:val="24"/>
        </w:rPr>
      </w:pPr>
      <w:r>
        <w:t>‘</w:t>
      </w:r>
      <w:r w:rsidR="004C4B0B" w:rsidRPr="003F4955">
        <w:t>…enabled the financial services industry to intently focus on customers and operations in an incredibly unpredictable environment. We applaud ASIC for their stance.</w:t>
      </w:r>
      <w:r>
        <w:t>’</w:t>
      </w:r>
      <w:r w:rsidR="004C4B0B" w:rsidRPr="003F4955">
        <w:t xml:space="preserve"> </w:t>
      </w:r>
      <w:r w:rsidR="003E3B00">
        <w:t xml:space="preserve">– </w:t>
      </w:r>
      <w:r w:rsidR="004C4B0B">
        <w:t xml:space="preserve">Public submission, </w:t>
      </w:r>
      <w:r w:rsidR="004F303F">
        <w:t>c</w:t>
      </w:r>
      <w:r w:rsidR="004C4B0B" w:rsidRPr="003F4955">
        <w:t xml:space="preserve">onfidential </w:t>
      </w:r>
    </w:p>
    <w:p w14:paraId="6BA50CCC" w14:textId="04CB3E80" w:rsidR="00E26C84" w:rsidRPr="00F67579" w:rsidRDefault="004C4B0B" w:rsidP="00975036">
      <w:pPr>
        <w:pStyle w:val="numberedtext"/>
        <w:numPr>
          <w:ilvl w:val="0"/>
          <w:numId w:val="19"/>
        </w:numPr>
        <w:ind w:left="573" w:hanging="573"/>
        <w:rPr>
          <w:rFonts w:cstheme="minorHAnsi"/>
        </w:rPr>
      </w:pPr>
      <w:r w:rsidRPr="00F67579">
        <w:rPr>
          <w:rFonts w:cstheme="minorHAnsi"/>
        </w:rPr>
        <w:t>To</w:t>
      </w:r>
      <w:r w:rsidR="00E26C84" w:rsidRPr="00F67579">
        <w:rPr>
          <w:rFonts w:cstheme="minorHAnsi"/>
        </w:rPr>
        <w:t xml:space="preserve"> improve communications, stakeholders in consumer advocacy bodies, markets, banking and insurance noted </w:t>
      </w:r>
      <w:r w:rsidRPr="00F67579">
        <w:rPr>
          <w:rFonts w:cstheme="minorHAnsi"/>
        </w:rPr>
        <w:t xml:space="preserve">the </w:t>
      </w:r>
      <w:r w:rsidR="00E26C84" w:rsidRPr="00F67579">
        <w:rPr>
          <w:rFonts w:cstheme="minorHAnsi"/>
        </w:rPr>
        <w:t xml:space="preserve">value in a </w:t>
      </w:r>
      <w:r w:rsidR="00EF40B0">
        <w:rPr>
          <w:rFonts w:cstheme="minorHAnsi"/>
        </w:rPr>
        <w:t>‘</w:t>
      </w:r>
      <w:r w:rsidR="00E26C84" w:rsidRPr="00F67579">
        <w:rPr>
          <w:rFonts w:cstheme="minorHAnsi"/>
        </w:rPr>
        <w:t>forward calendar</w:t>
      </w:r>
      <w:r w:rsidR="00EF40B0">
        <w:rPr>
          <w:rFonts w:cstheme="minorHAnsi"/>
        </w:rPr>
        <w:t>’</w:t>
      </w:r>
      <w:r w:rsidR="00E26C84" w:rsidRPr="00F67579">
        <w:rPr>
          <w:rFonts w:cstheme="minorHAnsi"/>
        </w:rPr>
        <w:t xml:space="preserve"> of regulatory initiatives akin to the United Kingdom</w:t>
      </w:r>
      <w:r w:rsidR="00EF40B0">
        <w:rPr>
          <w:rFonts w:cstheme="minorHAnsi"/>
        </w:rPr>
        <w:t>’</w:t>
      </w:r>
      <w:r w:rsidR="00E26C84" w:rsidRPr="00F67579">
        <w:rPr>
          <w:rFonts w:cstheme="minorHAnsi"/>
        </w:rPr>
        <w:t xml:space="preserve">s </w:t>
      </w:r>
      <w:r w:rsidR="00EF40B0">
        <w:rPr>
          <w:rFonts w:cstheme="minorHAnsi"/>
        </w:rPr>
        <w:t>‘</w:t>
      </w:r>
      <w:r w:rsidR="00E26C84" w:rsidRPr="00F67579">
        <w:rPr>
          <w:rFonts w:cstheme="minorHAnsi"/>
        </w:rPr>
        <w:t>Regulatory Initiatives Grid</w:t>
      </w:r>
      <w:r w:rsidR="00EF40B0">
        <w:rPr>
          <w:rFonts w:cstheme="minorHAnsi"/>
        </w:rPr>
        <w:t>’</w:t>
      </w:r>
      <w:r w:rsidR="00E26C84" w:rsidRPr="00F67579">
        <w:rPr>
          <w:rFonts w:cstheme="minorHAnsi"/>
        </w:rPr>
        <w:t xml:space="preserve"> and the Council of Financial Regulators of New Zealand</w:t>
      </w:r>
      <w:r w:rsidR="00B22961">
        <w:rPr>
          <w:rFonts w:cstheme="minorHAnsi"/>
        </w:rPr>
        <w:t>’s</w:t>
      </w:r>
      <w:r w:rsidR="00E26C84" w:rsidRPr="00F67579">
        <w:rPr>
          <w:rFonts w:cstheme="minorHAnsi"/>
        </w:rPr>
        <w:t xml:space="preserve"> </w:t>
      </w:r>
      <w:r w:rsidR="00EF40B0">
        <w:rPr>
          <w:rFonts w:cstheme="minorHAnsi"/>
        </w:rPr>
        <w:t>‘</w:t>
      </w:r>
      <w:r w:rsidR="00E26C84" w:rsidRPr="00F67579">
        <w:rPr>
          <w:rFonts w:cstheme="minorHAnsi"/>
        </w:rPr>
        <w:t>Regulatory Initiatives Calendar</w:t>
      </w:r>
      <w:r w:rsidR="00EF40B0">
        <w:rPr>
          <w:rFonts w:cstheme="minorHAnsi"/>
        </w:rPr>
        <w:t>’</w:t>
      </w:r>
      <w:r w:rsidR="00E26C84" w:rsidRPr="00F67579">
        <w:rPr>
          <w:rFonts w:cstheme="minorHAnsi"/>
        </w:rPr>
        <w:t>.</w:t>
      </w:r>
      <w:r w:rsidR="00E26C84" w:rsidRPr="00062E29">
        <w:rPr>
          <w:rFonts w:cstheme="minorHAnsi"/>
          <w:vertAlign w:val="superscript"/>
        </w:rPr>
        <w:footnoteReference w:id="72"/>
      </w:r>
      <w:r w:rsidR="00E26C84" w:rsidRPr="00F67579">
        <w:rPr>
          <w:rFonts w:cstheme="minorHAnsi"/>
        </w:rPr>
        <w:t xml:space="preserve"> One public submission </w:t>
      </w:r>
      <w:r w:rsidR="00753402">
        <w:rPr>
          <w:rFonts w:cstheme="minorHAnsi"/>
        </w:rPr>
        <w:t>from</w:t>
      </w:r>
      <w:r w:rsidR="00E26C84" w:rsidRPr="00F67579">
        <w:rPr>
          <w:rFonts w:cstheme="minorHAnsi"/>
        </w:rPr>
        <w:t xml:space="preserve"> the banking industry noted that this type of document would support planning and resource allocation in regulated entities.</w:t>
      </w:r>
      <w:r w:rsidR="00E26C84" w:rsidRPr="00062E29">
        <w:rPr>
          <w:rFonts w:cstheme="minorHAnsi"/>
          <w:vertAlign w:val="superscript"/>
        </w:rPr>
        <w:footnoteReference w:id="73"/>
      </w:r>
      <w:r w:rsidR="00E26C84" w:rsidRPr="00062E29">
        <w:rPr>
          <w:rFonts w:cstheme="minorHAnsi"/>
        </w:rPr>
        <w:t xml:space="preserve"> </w:t>
      </w:r>
      <w:r w:rsidR="00DD2AAD">
        <w:rPr>
          <w:rFonts w:cstheme="minorHAnsi"/>
        </w:rPr>
        <w:t>ASIC has suggested that development of this initiative would require cooperation among several regulators.</w:t>
      </w:r>
    </w:p>
    <w:p w14:paraId="35E8D536" w14:textId="3B8C867B" w:rsidR="00E26C84" w:rsidRPr="00F67579" w:rsidRDefault="00E26C84" w:rsidP="00975036">
      <w:pPr>
        <w:pStyle w:val="numberedtext"/>
        <w:numPr>
          <w:ilvl w:val="0"/>
          <w:numId w:val="19"/>
        </w:numPr>
        <w:ind w:left="573" w:hanging="573"/>
        <w:rPr>
          <w:rFonts w:cstheme="minorHAnsi"/>
        </w:rPr>
      </w:pPr>
      <w:r w:rsidRPr="00F67579">
        <w:rPr>
          <w:rFonts w:cstheme="minorHAnsi"/>
        </w:rPr>
        <w:t xml:space="preserve">ASIC plans to more effectively communicate to stakeholders the concrete work and initiatives it is prioritising in the short term, especially its surveillance and enforcement plans. This approach will complement existing publications such as the Corporate Plan in communicating concrete initiatives, specifying the products, industries and forms of conduct ASIC will focus on in the next </w:t>
      </w:r>
      <w:r w:rsidR="003402C9">
        <w:rPr>
          <w:rFonts w:cstheme="minorHAnsi"/>
        </w:rPr>
        <w:t xml:space="preserve">12 </w:t>
      </w:r>
      <w:r w:rsidRPr="00F67579">
        <w:rPr>
          <w:rFonts w:cstheme="minorHAnsi"/>
        </w:rPr>
        <w:t>months. ASIC expects this will provide stakeholders with better transparency of ASIC</w:t>
      </w:r>
      <w:r w:rsidR="00EF40B0">
        <w:rPr>
          <w:rFonts w:cstheme="minorHAnsi"/>
        </w:rPr>
        <w:t>’</w:t>
      </w:r>
      <w:r w:rsidRPr="00F67579">
        <w:rPr>
          <w:rFonts w:cstheme="minorHAnsi"/>
        </w:rPr>
        <w:t>s progress and provide an ability to hold ASIC to account but has not yet committed to a publication timeframe.</w:t>
      </w:r>
    </w:p>
    <w:p w14:paraId="4048500F" w14:textId="1573F8B7" w:rsidR="004C4B0B" w:rsidRPr="00F67579" w:rsidRDefault="004C4B0B" w:rsidP="00975036">
      <w:pPr>
        <w:pStyle w:val="numberedtext"/>
        <w:numPr>
          <w:ilvl w:val="0"/>
          <w:numId w:val="19"/>
        </w:numPr>
        <w:ind w:left="573" w:hanging="573"/>
        <w:rPr>
          <w:rFonts w:cstheme="minorHAnsi"/>
        </w:rPr>
      </w:pPr>
      <w:r w:rsidRPr="00F67579">
        <w:rPr>
          <w:rFonts w:cstheme="minorHAnsi"/>
        </w:rPr>
        <w:t>The FRAA welcomes ASIC</w:t>
      </w:r>
      <w:r w:rsidR="00EF40B0">
        <w:rPr>
          <w:rFonts w:cstheme="minorHAnsi"/>
        </w:rPr>
        <w:t>’</w:t>
      </w:r>
      <w:r w:rsidRPr="00F67579">
        <w:rPr>
          <w:rFonts w:cstheme="minorHAnsi"/>
        </w:rPr>
        <w:t xml:space="preserve">s initiative and recommends ASIC commit to a communication timeframe. </w:t>
      </w:r>
    </w:p>
    <w:p w14:paraId="31342851" w14:textId="79C8F638" w:rsidR="00E26C84" w:rsidRPr="006675EF" w:rsidRDefault="00E26C84" w:rsidP="004C4B0B">
      <w:pPr>
        <w:pStyle w:val="Heading4"/>
        <w:rPr>
          <w:rFonts w:eastAsia="Yu Gothic Light"/>
        </w:rPr>
      </w:pPr>
      <w:r w:rsidRPr="00947C2C">
        <w:rPr>
          <w:rFonts w:eastAsia="Yu Gothic Light"/>
        </w:rPr>
        <w:t xml:space="preserve">Clearly </w:t>
      </w:r>
      <w:r w:rsidRPr="006675EF">
        <w:rPr>
          <w:rFonts w:eastAsia="Yu Gothic Light"/>
        </w:rPr>
        <w:t>understood decision</w:t>
      </w:r>
      <w:r w:rsidR="00EF40B0">
        <w:rPr>
          <w:rFonts w:eastAsia="Yu Gothic Light"/>
        </w:rPr>
        <w:noBreakHyphen/>
      </w:r>
      <w:r w:rsidRPr="006675EF">
        <w:rPr>
          <w:rFonts w:eastAsia="Yu Gothic Light"/>
        </w:rPr>
        <w:t>making</w:t>
      </w:r>
    </w:p>
    <w:p w14:paraId="38FB6F3D" w14:textId="253785D5" w:rsidR="00E26C84" w:rsidRPr="00F67579" w:rsidRDefault="00E26C84" w:rsidP="00975036">
      <w:pPr>
        <w:pStyle w:val="numberedtext"/>
        <w:numPr>
          <w:ilvl w:val="0"/>
          <w:numId w:val="19"/>
        </w:numPr>
        <w:ind w:left="573" w:hanging="573"/>
        <w:rPr>
          <w:rFonts w:cstheme="minorHAnsi"/>
        </w:rPr>
      </w:pPr>
      <w:r w:rsidRPr="00F67579">
        <w:rPr>
          <w:rFonts w:cstheme="minorHAnsi"/>
        </w:rPr>
        <w:t>Broadly,</w:t>
      </w:r>
      <w:r w:rsidRPr="00F67579" w:rsidDel="00A07F04">
        <w:rPr>
          <w:rFonts w:cstheme="minorHAnsi"/>
        </w:rPr>
        <w:t xml:space="preserve"> decision</w:t>
      </w:r>
      <w:r w:rsidR="00EF40B0">
        <w:rPr>
          <w:rFonts w:cstheme="minorHAnsi"/>
        </w:rPr>
        <w:noBreakHyphen/>
      </w:r>
      <w:r w:rsidRPr="00F67579" w:rsidDel="00A07F04">
        <w:rPr>
          <w:rFonts w:cstheme="minorHAnsi"/>
        </w:rPr>
        <w:t>making</w:t>
      </w:r>
      <w:r w:rsidRPr="00F67579">
        <w:rPr>
          <w:rFonts w:cstheme="minorHAnsi"/>
        </w:rPr>
        <w:t xml:space="preserve"> processes are understood by ASIC staff</w:t>
      </w:r>
      <w:r w:rsidR="00DF28AB">
        <w:rPr>
          <w:rFonts w:cstheme="minorHAnsi"/>
        </w:rPr>
        <w:t xml:space="preserve"> members</w:t>
      </w:r>
      <w:r w:rsidRPr="00F67579">
        <w:rPr>
          <w:rFonts w:cstheme="minorHAnsi"/>
        </w:rPr>
        <w:t>. In the staff survey, 63% of respondents agreed to understanding how decisions are made at ASIC.</w:t>
      </w:r>
      <w:r w:rsidRPr="00062E29">
        <w:rPr>
          <w:rFonts w:cstheme="minorHAnsi"/>
          <w:vertAlign w:val="superscript"/>
        </w:rPr>
        <w:footnoteReference w:id="74"/>
      </w:r>
    </w:p>
    <w:p w14:paraId="20E73966" w14:textId="53351CB7" w:rsidR="00E26C84" w:rsidRPr="00F67579" w:rsidRDefault="00E26C84" w:rsidP="00975036">
      <w:pPr>
        <w:pStyle w:val="numberedtext"/>
        <w:numPr>
          <w:ilvl w:val="0"/>
          <w:numId w:val="19"/>
        </w:numPr>
        <w:ind w:left="573" w:hanging="573"/>
        <w:rPr>
          <w:rFonts w:cstheme="minorHAnsi"/>
        </w:rPr>
      </w:pPr>
      <w:r w:rsidRPr="00F67579">
        <w:rPr>
          <w:rFonts w:cstheme="minorHAnsi"/>
        </w:rPr>
        <w:t>However, after a period of frequent changes to ASIC</w:t>
      </w:r>
      <w:r w:rsidR="00EF40B0">
        <w:rPr>
          <w:rFonts w:cstheme="minorHAnsi"/>
        </w:rPr>
        <w:t>’</w:t>
      </w:r>
      <w:r w:rsidRPr="00F67579">
        <w:rPr>
          <w:rFonts w:cstheme="minorHAnsi"/>
        </w:rPr>
        <w:t>s governance model, some ASIC staff noted that accountability in ASIC</w:t>
      </w:r>
      <w:r w:rsidR="00EF40B0">
        <w:rPr>
          <w:rFonts w:cstheme="minorHAnsi"/>
        </w:rPr>
        <w:t>’</w:t>
      </w:r>
      <w:r w:rsidRPr="00F67579">
        <w:rPr>
          <w:rFonts w:cstheme="minorHAnsi"/>
        </w:rPr>
        <w:t>s decision</w:t>
      </w:r>
      <w:r w:rsidR="00EF40B0">
        <w:rPr>
          <w:rFonts w:cstheme="minorHAnsi"/>
        </w:rPr>
        <w:noBreakHyphen/>
      </w:r>
      <w:r w:rsidRPr="00F67579">
        <w:rPr>
          <w:rFonts w:cstheme="minorHAnsi"/>
        </w:rPr>
        <w:t>making processes is not always clear. Feedback from the ASIC staff survey noted that decision</w:t>
      </w:r>
      <w:r w:rsidR="00EF40B0">
        <w:rPr>
          <w:rFonts w:cstheme="minorHAnsi"/>
        </w:rPr>
        <w:noBreakHyphen/>
      </w:r>
      <w:r w:rsidRPr="00F67579">
        <w:rPr>
          <w:rFonts w:cstheme="minorHAnsi"/>
        </w:rPr>
        <w:t xml:space="preserve">making processes </w:t>
      </w:r>
      <w:r w:rsidR="004C4B0B" w:rsidRPr="00F67579">
        <w:rPr>
          <w:rFonts w:cstheme="minorHAnsi"/>
        </w:rPr>
        <w:t>can be</w:t>
      </w:r>
      <w:r w:rsidRPr="00F67579">
        <w:rPr>
          <w:rFonts w:cstheme="minorHAnsi"/>
        </w:rPr>
        <w:t xml:space="preserve"> complex and confusing, with multiple forums and committees to navigate when escalating a matter.</w:t>
      </w:r>
    </w:p>
    <w:p w14:paraId="6191C768" w14:textId="7F25F5B9" w:rsidR="00E26C84" w:rsidRPr="008537B7" w:rsidRDefault="00EF40B0" w:rsidP="0001492E">
      <w:pPr>
        <w:pStyle w:val="Quote"/>
        <w:rPr>
          <w:rStyle w:val="FootnoteReference"/>
          <w:rFonts w:eastAsia="Calibri"/>
        </w:rPr>
      </w:pPr>
      <w:r>
        <w:rPr>
          <w:rFonts w:eastAsia="Calibri"/>
          <w:sz w:val="20"/>
        </w:rPr>
        <w:t>‘</w:t>
      </w:r>
      <w:r w:rsidR="00E26C84" w:rsidRPr="30F06348">
        <w:rPr>
          <w:rFonts w:eastAsia="Calibri"/>
        </w:rPr>
        <w:t>Decision</w:t>
      </w:r>
      <w:r w:rsidR="00EB25C2">
        <w:rPr>
          <w:rFonts w:eastAsia="Calibri"/>
        </w:rPr>
        <w:t>-</w:t>
      </w:r>
      <w:r w:rsidR="00E26C84" w:rsidRPr="30F06348">
        <w:rPr>
          <w:rFonts w:eastAsia="Calibri"/>
        </w:rPr>
        <w:t>making could be improved and more effective if governance structures were clearer.</w:t>
      </w:r>
      <w:r>
        <w:rPr>
          <w:rFonts w:eastAsia="Calibri"/>
        </w:rPr>
        <w:t>’</w:t>
      </w:r>
      <w:r w:rsidR="00E26C84" w:rsidRPr="30F06348">
        <w:rPr>
          <w:rFonts w:eastAsia="Calibri"/>
        </w:rPr>
        <w:t xml:space="preserve"> </w:t>
      </w:r>
      <w:r w:rsidR="003E3B00">
        <w:rPr>
          <w:rFonts w:eastAsia="Calibri"/>
        </w:rPr>
        <w:t xml:space="preserve">– </w:t>
      </w:r>
      <w:r w:rsidR="00E26C84" w:rsidRPr="30F06348">
        <w:rPr>
          <w:rFonts w:eastAsia="Calibri"/>
        </w:rPr>
        <w:t>Staff survey</w:t>
      </w:r>
      <w:r w:rsidR="00E26C84" w:rsidRPr="008537B7">
        <w:rPr>
          <w:rStyle w:val="FootnoteReference"/>
          <w:rFonts w:eastAsia="Calibri"/>
        </w:rPr>
        <w:footnoteReference w:id="75"/>
      </w:r>
    </w:p>
    <w:p w14:paraId="309BDA51" w14:textId="677F7383" w:rsidR="00E26C84" w:rsidRPr="00F67579" w:rsidRDefault="00E26C84" w:rsidP="00975036">
      <w:pPr>
        <w:pStyle w:val="numberedtext"/>
        <w:numPr>
          <w:ilvl w:val="0"/>
          <w:numId w:val="19"/>
        </w:numPr>
        <w:ind w:left="573" w:hanging="573"/>
        <w:rPr>
          <w:rFonts w:cstheme="minorHAnsi"/>
        </w:rPr>
      </w:pPr>
      <w:r w:rsidRPr="00F67579">
        <w:rPr>
          <w:rFonts w:cstheme="minorHAnsi"/>
        </w:rPr>
        <w:t>Public submissions in banking, legal, superannuation, governance and markets noted that ASIC</w:t>
      </w:r>
      <w:r w:rsidR="00EF40B0">
        <w:rPr>
          <w:rFonts w:cstheme="minorHAnsi"/>
        </w:rPr>
        <w:t>’</w:t>
      </w:r>
      <w:r w:rsidRPr="00F67579">
        <w:rPr>
          <w:rFonts w:cstheme="minorHAnsi"/>
        </w:rPr>
        <w:t>s decisions do not always appear</w:t>
      </w:r>
      <w:r w:rsidR="00E66F17">
        <w:rPr>
          <w:rFonts w:cstheme="minorHAnsi"/>
        </w:rPr>
        <w:t xml:space="preserve"> to</w:t>
      </w:r>
      <w:r w:rsidRPr="00F67579">
        <w:rPr>
          <w:rFonts w:cstheme="minorHAnsi"/>
        </w:rPr>
        <w:t xml:space="preserve"> align</w:t>
      </w:r>
      <w:r w:rsidR="00E66F17">
        <w:rPr>
          <w:rFonts w:cstheme="minorHAnsi"/>
        </w:rPr>
        <w:t xml:space="preserve"> with</w:t>
      </w:r>
      <w:r w:rsidRPr="00F67579">
        <w:rPr>
          <w:rFonts w:cstheme="minorHAnsi"/>
        </w:rPr>
        <w:t xml:space="preserve"> its strategic priorities.</w:t>
      </w:r>
      <w:r w:rsidRPr="00062E29">
        <w:rPr>
          <w:rFonts w:cstheme="minorHAnsi"/>
          <w:vertAlign w:val="superscript"/>
        </w:rPr>
        <w:footnoteReference w:id="76"/>
      </w:r>
      <w:r w:rsidRPr="00F67579">
        <w:rPr>
          <w:rFonts w:cstheme="minorHAnsi"/>
        </w:rPr>
        <w:t xml:space="preserve"> This feedback</w:t>
      </w:r>
      <w:r w:rsidRPr="00F67579" w:rsidDel="008370C4">
        <w:rPr>
          <w:rFonts w:cstheme="minorHAnsi"/>
        </w:rPr>
        <w:t xml:space="preserve"> </w:t>
      </w:r>
      <w:r w:rsidRPr="00F67579">
        <w:rPr>
          <w:rFonts w:cstheme="minorHAnsi"/>
        </w:rPr>
        <w:t>did not seem to resonate with ASIC staff, with 78% agreeing that regulatory decisions made by their team are consistent with ASIC</w:t>
      </w:r>
      <w:r w:rsidR="00EF40B0">
        <w:rPr>
          <w:rFonts w:cstheme="minorHAnsi"/>
        </w:rPr>
        <w:t>’</w:t>
      </w:r>
      <w:r w:rsidRPr="00F67579">
        <w:rPr>
          <w:rFonts w:cstheme="minorHAnsi"/>
        </w:rPr>
        <w:t xml:space="preserve">s priorities. </w:t>
      </w:r>
    </w:p>
    <w:p w14:paraId="661320BA" w14:textId="73322474" w:rsidR="004C4B0B" w:rsidRPr="00F67579" w:rsidRDefault="004C4B0B" w:rsidP="00975036">
      <w:pPr>
        <w:pStyle w:val="numberedtext"/>
        <w:numPr>
          <w:ilvl w:val="0"/>
          <w:numId w:val="19"/>
        </w:numPr>
        <w:ind w:left="573" w:hanging="573"/>
        <w:rPr>
          <w:rFonts w:cstheme="minorHAnsi"/>
        </w:rPr>
      </w:pPr>
      <w:r w:rsidRPr="00F67579">
        <w:rPr>
          <w:rFonts w:cstheme="minorHAnsi"/>
        </w:rPr>
        <w:lastRenderedPageBreak/>
        <w:t>Public submissions in the legal sector requested more clarity on ASIC</w:t>
      </w:r>
      <w:r w:rsidR="00EF40B0">
        <w:rPr>
          <w:rFonts w:cstheme="minorHAnsi"/>
        </w:rPr>
        <w:t>’</w:t>
      </w:r>
      <w:r w:rsidRPr="00F67579">
        <w:rPr>
          <w:rFonts w:cstheme="minorHAnsi"/>
        </w:rPr>
        <w:t>s decision</w:t>
      </w:r>
      <w:r w:rsidR="00EF40B0">
        <w:rPr>
          <w:rFonts w:cstheme="minorHAnsi"/>
        </w:rPr>
        <w:noBreakHyphen/>
      </w:r>
      <w:r w:rsidRPr="00F67579">
        <w:rPr>
          <w:rFonts w:cstheme="minorHAnsi"/>
        </w:rPr>
        <w:t>making processes and escalation procedures.</w:t>
      </w:r>
      <w:r w:rsidRPr="00062E29">
        <w:rPr>
          <w:rFonts w:cstheme="minorHAnsi"/>
          <w:vertAlign w:val="superscript"/>
        </w:rPr>
        <w:footnoteReference w:id="77"/>
      </w:r>
      <w:r w:rsidRPr="00F67579">
        <w:rPr>
          <w:rFonts w:cstheme="minorHAnsi"/>
        </w:rPr>
        <w:t xml:space="preserve"> This was supported by the external stakeholder survey where only 22% of respondents agreed that ASIC clearly communicates the reasons behind its regulatory decisions.</w:t>
      </w:r>
      <w:r w:rsidRPr="00062E29">
        <w:rPr>
          <w:rFonts w:cstheme="minorHAnsi"/>
          <w:vertAlign w:val="superscript"/>
        </w:rPr>
        <w:footnoteReference w:id="78"/>
      </w:r>
      <w:r w:rsidRPr="00062E29">
        <w:rPr>
          <w:rFonts w:cstheme="minorHAnsi"/>
        </w:rPr>
        <w:t xml:space="preserve"> </w:t>
      </w:r>
      <w:r w:rsidRPr="00F67579">
        <w:rPr>
          <w:rFonts w:cstheme="minorHAnsi"/>
        </w:rPr>
        <w:t xml:space="preserve">One stakeholder noted that implementing a transparent </w:t>
      </w:r>
      <w:r w:rsidRPr="00F67579" w:rsidDel="00DF6310">
        <w:rPr>
          <w:rFonts w:cstheme="minorHAnsi"/>
        </w:rPr>
        <w:t>decision</w:t>
      </w:r>
      <w:r w:rsidR="00EF40B0">
        <w:rPr>
          <w:rFonts w:cstheme="minorHAnsi"/>
        </w:rPr>
        <w:noBreakHyphen/>
      </w:r>
      <w:r w:rsidRPr="00F67579">
        <w:rPr>
          <w:rFonts w:cstheme="minorHAnsi"/>
        </w:rPr>
        <w:t>making process would enable stakeholders to understand how problems can be escalated within ASIC.</w:t>
      </w:r>
      <w:r w:rsidRPr="00062E29">
        <w:rPr>
          <w:rFonts w:cstheme="minorHAnsi"/>
          <w:vertAlign w:val="superscript"/>
        </w:rPr>
        <w:footnoteReference w:id="79"/>
      </w:r>
    </w:p>
    <w:p w14:paraId="06DB6E78" w14:textId="77777777" w:rsidR="004C4B0B" w:rsidRPr="00391F0C" w:rsidRDefault="004C4B0B" w:rsidP="004C4B0B">
      <w:pPr>
        <w:pStyle w:val="Heading3"/>
      </w:pPr>
      <w:bookmarkStart w:id="85" w:name="_Toc108786438"/>
      <w:r w:rsidRPr="00391F0C">
        <w:t>Accountability</w:t>
      </w:r>
      <w:bookmarkEnd w:id="85"/>
    </w:p>
    <w:p w14:paraId="2B299E7A" w14:textId="6AA6BD48" w:rsidR="004C4B0B" w:rsidRPr="00F67579" w:rsidRDefault="004C4B0B" w:rsidP="00975036">
      <w:pPr>
        <w:pStyle w:val="numberedtext"/>
        <w:numPr>
          <w:ilvl w:val="0"/>
          <w:numId w:val="19"/>
        </w:numPr>
        <w:ind w:left="573" w:hanging="573"/>
        <w:rPr>
          <w:rFonts w:cstheme="minorHAnsi"/>
        </w:rPr>
      </w:pPr>
      <w:r w:rsidRPr="00F67579">
        <w:rPr>
          <w:rFonts w:cstheme="minorHAnsi"/>
        </w:rPr>
        <w:t>Accountability in ASIC</w:t>
      </w:r>
      <w:r w:rsidR="00EF40B0">
        <w:rPr>
          <w:rFonts w:cstheme="minorHAnsi"/>
        </w:rPr>
        <w:t>’</w:t>
      </w:r>
      <w:r w:rsidRPr="00F67579">
        <w:rPr>
          <w:rFonts w:cstheme="minorHAnsi"/>
        </w:rPr>
        <w:t>s strategic prioritisation, planning and decision</w:t>
      </w:r>
      <w:r w:rsidR="00EF40B0">
        <w:rPr>
          <w:rFonts w:cstheme="minorHAnsi"/>
        </w:rPr>
        <w:noBreakHyphen/>
      </w:r>
      <w:r w:rsidRPr="00F67579">
        <w:rPr>
          <w:rFonts w:cstheme="minorHAnsi"/>
        </w:rPr>
        <w:t>making processes is essential to assess the progress of ASIC</w:t>
      </w:r>
      <w:r w:rsidR="00EF40B0">
        <w:rPr>
          <w:rFonts w:cstheme="minorHAnsi"/>
        </w:rPr>
        <w:t>’</w:t>
      </w:r>
      <w:r w:rsidRPr="00F67579">
        <w:rPr>
          <w:rFonts w:cstheme="minorHAnsi"/>
        </w:rPr>
        <w:t>s activities and outcomes against its stated objectives.</w:t>
      </w:r>
    </w:p>
    <w:p w14:paraId="76B18097" w14:textId="77777777" w:rsidR="00E26C84" w:rsidRPr="00204205" w:rsidRDefault="00E26C84" w:rsidP="006621F8">
      <w:pPr>
        <w:pStyle w:val="Heading4"/>
        <w:rPr>
          <w:rFonts w:eastAsia="Yu Gothic Light"/>
        </w:rPr>
      </w:pPr>
      <w:bookmarkStart w:id="86" w:name="_Toc108786439"/>
      <w:r w:rsidRPr="00204205">
        <w:rPr>
          <w:rFonts w:eastAsia="Yu Gothic Light"/>
        </w:rPr>
        <w:t>Strategic planning process</w:t>
      </w:r>
      <w:bookmarkEnd w:id="86"/>
    </w:p>
    <w:p w14:paraId="129F0BA2" w14:textId="1A5AA485" w:rsidR="00E26C84" w:rsidRPr="00E32024" w:rsidRDefault="004C4B0B" w:rsidP="00975036">
      <w:pPr>
        <w:pStyle w:val="numberedtext"/>
        <w:numPr>
          <w:ilvl w:val="0"/>
          <w:numId w:val="19"/>
        </w:numPr>
        <w:ind w:left="573" w:hanging="573"/>
        <w:rPr>
          <w:rFonts w:cstheme="minorHAnsi"/>
        </w:rPr>
      </w:pPr>
      <w:r w:rsidRPr="00E32024">
        <w:rPr>
          <w:rFonts w:cstheme="minorHAnsi"/>
        </w:rPr>
        <w:t>ASIC monitors its activities by</w:t>
      </w:r>
      <w:r w:rsidR="00E26C84" w:rsidRPr="00E32024">
        <w:rPr>
          <w:rFonts w:cstheme="minorHAnsi"/>
        </w:rPr>
        <w:t xml:space="preserve"> quarterly reporting against group business plans and </w:t>
      </w:r>
      <w:r w:rsidRPr="00E32024">
        <w:rPr>
          <w:rFonts w:cstheme="minorHAnsi"/>
        </w:rPr>
        <w:t xml:space="preserve">progress </w:t>
      </w:r>
      <w:r w:rsidR="0088523B">
        <w:rPr>
          <w:rFonts w:cstheme="minorHAnsi"/>
        </w:rPr>
        <w:t>using</w:t>
      </w:r>
      <w:r w:rsidRPr="00E32024">
        <w:rPr>
          <w:rFonts w:cstheme="minorHAnsi"/>
        </w:rPr>
        <w:t xml:space="preserve"> StrategyDotZero.</w:t>
      </w:r>
      <w:r w:rsidR="00E26C84" w:rsidRPr="00E32024">
        <w:rPr>
          <w:rFonts w:cstheme="minorHAnsi"/>
        </w:rPr>
        <w:t xml:space="preserve"> Quarterly reporting to the Executive Committee ensures executive directors discuss the progress of, and any risks to, key activities. StrategyDotZero facilitates </w:t>
      </w:r>
      <w:r w:rsidR="00153B0A">
        <w:rPr>
          <w:rFonts w:cstheme="minorHAnsi"/>
        </w:rPr>
        <w:t>progress</w:t>
      </w:r>
      <w:r w:rsidR="00EF40B0">
        <w:rPr>
          <w:rFonts w:cstheme="minorHAnsi"/>
        </w:rPr>
        <w:noBreakHyphen/>
      </w:r>
      <w:r w:rsidR="00E26C84" w:rsidRPr="00E32024">
        <w:rPr>
          <w:rFonts w:cstheme="minorHAnsi"/>
        </w:rPr>
        <w:t>tracking of projects by group and by strategic priority. ASIC noted that this will help the organisation track outcomes to inform future decision</w:t>
      </w:r>
      <w:r w:rsidR="00EF40B0">
        <w:rPr>
          <w:rFonts w:cstheme="minorHAnsi"/>
        </w:rPr>
        <w:noBreakHyphen/>
      </w:r>
      <w:r w:rsidR="00E26C84" w:rsidRPr="00E32024">
        <w:rPr>
          <w:rFonts w:cstheme="minorHAnsi"/>
        </w:rPr>
        <w:t xml:space="preserve">making and strategic planning. </w:t>
      </w:r>
    </w:p>
    <w:p w14:paraId="7A8DF32E" w14:textId="09AE4CA9" w:rsidR="00E26C84" w:rsidRPr="00E32024" w:rsidRDefault="00E26C84" w:rsidP="00975036">
      <w:pPr>
        <w:pStyle w:val="numberedtext"/>
        <w:numPr>
          <w:ilvl w:val="0"/>
          <w:numId w:val="19"/>
        </w:numPr>
        <w:ind w:left="573" w:hanging="573"/>
        <w:rPr>
          <w:rFonts w:cstheme="minorHAnsi"/>
        </w:rPr>
      </w:pPr>
      <w:r w:rsidRPr="00E32024">
        <w:rPr>
          <w:rFonts w:cstheme="minorHAnsi"/>
        </w:rPr>
        <w:t>Public submissions</w:t>
      </w:r>
      <w:r w:rsidR="00141FC1">
        <w:rPr>
          <w:rFonts w:cstheme="minorHAnsi"/>
        </w:rPr>
        <w:t>,</w:t>
      </w:r>
      <w:r w:rsidRPr="00E32024">
        <w:rPr>
          <w:rFonts w:cstheme="minorHAnsi"/>
        </w:rPr>
        <w:t xml:space="preserve"> including </w:t>
      </w:r>
      <w:r w:rsidR="00141FC1">
        <w:rPr>
          <w:rFonts w:cstheme="minorHAnsi"/>
        </w:rPr>
        <w:t xml:space="preserve">by </w:t>
      </w:r>
      <w:r w:rsidRPr="00E32024">
        <w:rPr>
          <w:rFonts w:cstheme="minorHAnsi"/>
        </w:rPr>
        <w:t>a consumer advocacy body and a banking stakeholder</w:t>
      </w:r>
      <w:r w:rsidR="00141FC1">
        <w:rPr>
          <w:rFonts w:cstheme="minorHAnsi"/>
        </w:rPr>
        <w:t>,</w:t>
      </w:r>
      <w:r w:rsidRPr="00E32024">
        <w:rPr>
          <w:rFonts w:cstheme="minorHAnsi"/>
        </w:rPr>
        <w:t xml:space="preserve"> noted that ASIC</w:t>
      </w:r>
      <w:r w:rsidR="00EF40B0">
        <w:rPr>
          <w:rFonts w:cstheme="minorHAnsi"/>
        </w:rPr>
        <w:t>’</w:t>
      </w:r>
      <w:r w:rsidRPr="00E32024">
        <w:rPr>
          <w:rFonts w:cstheme="minorHAnsi"/>
        </w:rPr>
        <w:t>s publications do not report on ASIC</w:t>
      </w:r>
      <w:r w:rsidR="00EF40B0">
        <w:rPr>
          <w:rFonts w:cstheme="minorHAnsi"/>
        </w:rPr>
        <w:t>’</w:t>
      </w:r>
      <w:r w:rsidRPr="00E32024">
        <w:rPr>
          <w:rFonts w:cstheme="minorHAnsi"/>
        </w:rPr>
        <w:t>s success against priorities.</w:t>
      </w:r>
      <w:r w:rsidRPr="00062E29">
        <w:rPr>
          <w:rFonts w:cstheme="minorHAnsi"/>
          <w:vertAlign w:val="superscript"/>
        </w:rPr>
        <w:footnoteReference w:id="80"/>
      </w:r>
      <w:r w:rsidRPr="00E32024">
        <w:rPr>
          <w:rFonts w:cstheme="minorHAnsi"/>
        </w:rPr>
        <w:t xml:space="preserve"> One </w:t>
      </w:r>
      <w:r w:rsidR="004C4B0B" w:rsidRPr="00E32024">
        <w:rPr>
          <w:rFonts w:cstheme="minorHAnsi"/>
        </w:rPr>
        <w:t>submission noted that activities forecasted in the Corporate Plan do not align with activities in ASIC</w:t>
      </w:r>
      <w:r w:rsidR="00EF40B0">
        <w:rPr>
          <w:rFonts w:cstheme="minorHAnsi"/>
        </w:rPr>
        <w:t>’</w:t>
      </w:r>
      <w:r w:rsidR="004C4B0B" w:rsidRPr="00E32024">
        <w:rPr>
          <w:rFonts w:cstheme="minorHAnsi"/>
        </w:rPr>
        <w:t>s Cost Recovery Implementation Statement.</w:t>
      </w:r>
      <w:r w:rsidR="004C4B0B" w:rsidRPr="00062E29">
        <w:rPr>
          <w:rFonts w:cstheme="minorHAnsi"/>
          <w:vertAlign w:val="superscript"/>
        </w:rPr>
        <w:footnoteReference w:id="81"/>
      </w:r>
      <w:r w:rsidR="004C4B0B" w:rsidRPr="00E32024">
        <w:rPr>
          <w:rFonts w:cstheme="minorHAnsi"/>
        </w:rPr>
        <w:t xml:space="preserve"> Another suggested key performance indicators be used for strategic priorities so industry can better understand ASIC</w:t>
      </w:r>
      <w:r w:rsidR="00EF40B0">
        <w:rPr>
          <w:rFonts w:cstheme="minorHAnsi"/>
        </w:rPr>
        <w:t>’</w:t>
      </w:r>
      <w:r w:rsidR="004C4B0B" w:rsidRPr="00E32024">
        <w:rPr>
          <w:rFonts w:cstheme="minorHAnsi"/>
        </w:rPr>
        <w:t>s level of commitment to delivering them.</w:t>
      </w:r>
      <w:r w:rsidR="004C4B0B" w:rsidRPr="00062E29">
        <w:rPr>
          <w:rFonts w:cstheme="minorHAnsi"/>
          <w:vertAlign w:val="superscript"/>
        </w:rPr>
        <w:footnoteReference w:id="82"/>
      </w:r>
      <w:r w:rsidR="004C4B0B" w:rsidRPr="00E32024">
        <w:rPr>
          <w:rFonts w:cstheme="minorHAnsi"/>
        </w:rPr>
        <w:t xml:space="preserve"> Stakeholders noted that such measures would increase ASIC</w:t>
      </w:r>
      <w:r w:rsidR="00EF40B0">
        <w:rPr>
          <w:rFonts w:cstheme="minorHAnsi"/>
        </w:rPr>
        <w:t>’</w:t>
      </w:r>
      <w:r w:rsidR="004C4B0B" w:rsidRPr="00E32024">
        <w:rPr>
          <w:rFonts w:cstheme="minorHAnsi"/>
        </w:rPr>
        <w:t xml:space="preserve">s accountability and transparency. Only 9% of respondents to the </w:t>
      </w:r>
      <w:r w:rsidR="0030168C">
        <w:rPr>
          <w:rFonts w:cstheme="minorHAnsi"/>
        </w:rPr>
        <w:t>stakeholder</w:t>
      </w:r>
      <w:r w:rsidR="004C4B0B" w:rsidRPr="00E32024">
        <w:rPr>
          <w:rFonts w:cstheme="minorHAnsi"/>
        </w:rPr>
        <w:t xml:space="preserve"> survey agreed that ASIC is accountable</w:t>
      </w:r>
      <w:r w:rsidRPr="00E32024">
        <w:rPr>
          <w:rFonts w:cstheme="minorHAnsi"/>
        </w:rPr>
        <w:t xml:space="preserve"> for delivering the priorities laid out in its Corporate Plan.</w:t>
      </w:r>
      <w:r w:rsidRPr="00062E29">
        <w:rPr>
          <w:rFonts w:cstheme="minorHAnsi"/>
          <w:vertAlign w:val="superscript"/>
        </w:rPr>
        <w:footnoteReference w:id="83"/>
      </w:r>
    </w:p>
    <w:p w14:paraId="32B727CB" w14:textId="77777777" w:rsidR="00E26C84" w:rsidRPr="00E32024" w:rsidRDefault="00E26C84" w:rsidP="00975036">
      <w:pPr>
        <w:pStyle w:val="numberedtext"/>
        <w:numPr>
          <w:ilvl w:val="0"/>
          <w:numId w:val="19"/>
        </w:numPr>
        <w:ind w:left="573" w:hanging="573"/>
        <w:rPr>
          <w:rFonts w:cstheme="minorHAnsi"/>
        </w:rPr>
      </w:pPr>
      <w:r w:rsidRPr="00E32024">
        <w:rPr>
          <w:rFonts w:cstheme="minorHAnsi"/>
        </w:rPr>
        <w:t>Consumer advocacy bodies noted that ASIC could better communicate accountability for activity delivery in these documents.</w:t>
      </w:r>
      <w:r w:rsidRPr="00062E29">
        <w:rPr>
          <w:rFonts w:cstheme="minorHAnsi"/>
          <w:vertAlign w:val="superscript"/>
        </w:rPr>
        <w:footnoteReference w:id="84"/>
      </w:r>
      <w:r w:rsidRPr="00E32024">
        <w:rPr>
          <w:rFonts w:cstheme="minorHAnsi"/>
        </w:rPr>
        <w:t xml:space="preserve"> One submission noted that ASIC could consider maintaining annual enforcement and compliance priorities that are specific, measurable and tied to specific financial products, services or industries that cause consumer harm.</w:t>
      </w:r>
      <w:r w:rsidRPr="00062E29">
        <w:rPr>
          <w:rFonts w:cstheme="minorHAnsi"/>
          <w:vertAlign w:val="superscript"/>
        </w:rPr>
        <w:footnoteReference w:id="85"/>
      </w:r>
    </w:p>
    <w:p w14:paraId="377E68CB" w14:textId="64A123F2" w:rsidR="00E26C84" w:rsidRPr="00E32024" w:rsidRDefault="00E26C84" w:rsidP="00975036">
      <w:pPr>
        <w:pStyle w:val="numberedtext"/>
        <w:numPr>
          <w:ilvl w:val="0"/>
          <w:numId w:val="19"/>
        </w:numPr>
        <w:ind w:left="573" w:hanging="573"/>
        <w:rPr>
          <w:rFonts w:cstheme="minorHAnsi"/>
        </w:rPr>
      </w:pPr>
      <w:r w:rsidRPr="00E32024">
        <w:rPr>
          <w:rFonts w:cstheme="minorHAnsi"/>
        </w:rPr>
        <w:t>The FRAA notes that the activities outlined in ASIC</w:t>
      </w:r>
      <w:r w:rsidR="00EF40B0">
        <w:rPr>
          <w:rFonts w:cstheme="minorHAnsi"/>
        </w:rPr>
        <w:t>’</w:t>
      </w:r>
      <w:r w:rsidRPr="00E32024">
        <w:rPr>
          <w:rFonts w:cstheme="minorHAnsi"/>
        </w:rPr>
        <w:t>s Corporate Plan do not clearly align with the Annual Performance Statement in ASIC</w:t>
      </w:r>
      <w:r w:rsidR="00EF40B0">
        <w:rPr>
          <w:rFonts w:cstheme="minorHAnsi"/>
        </w:rPr>
        <w:t>’</w:t>
      </w:r>
      <w:r w:rsidRPr="00E32024">
        <w:rPr>
          <w:rFonts w:cstheme="minorHAnsi"/>
        </w:rPr>
        <w:t>s Annual Report. It is therefore difficult to understand what ASIC has achieved relative to what it set out</w:t>
      </w:r>
      <w:r w:rsidR="004C4B0B" w:rsidRPr="00E32024">
        <w:rPr>
          <w:rFonts w:cstheme="minorHAnsi"/>
        </w:rPr>
        <w:t>.</w:t>
      </w:r>
      <w:r w:rsidRPr="00E32024">
        <w:rPr>
          <w:rFonts w:cstheme="minorHAnsi"/>
        </w:rPr>
        <w:t xml:space="preserve"> This observation was also noted in the 2015 ASIC Capability Review, which found that ASIC</w:t>
      </w:r>
      <w:r w:rsidR="00EF40B0">
        <w:rPr>
          <w:rFonts w:cstheme="minorHAnsi"/>
        </w:rPr>
        <w:t>’</w:t>
      </w:r>
      <w:r w:rsidRPr="00E32024">
        <w:rPr>
          <w:rFonts w:cstheme="minorHAnsi"/>
        </w:rPr>
        <w:t xml:space="preserve">s performance metrics were </w:t>
      </w:r>
      <w:r w:rsidR="00EF40B0">
        <w:rPr>
          <w:rFonts w:cstheme="minorHAnsi"/>
        </w:rPr>
        <w:t>‘</w:t>
      </w:r>
      <w:r w:rsidRPr="00E32024">
        <w:rPr>
          <w:rFonts w:cstheme="minorHAnsi"/>
        </w:rPr>
        <w:t>not accompanied by a detailed performance narrative, or an assessment of gaps in performance or delivery against stated priorities</w:t>
      </w:r>
      <w:r w:rsidR="00EF40B0">
        <w:rPr>
          <w:rFonts w:cstheme="minorHAnsi"/>
        </w:rPr>
        <w:t>’</w:t>
      </w:r>
      <w:r w:rsidRPr="00E32024">
        <w:rPr>
          <w:rFonts w:cstheme="minorHAnsi"/>
        </w:rPr>
        <w:t xml:space="preserve"> making it difficult for stakeholders to assess how ASIC performs against its objectives, priorities and expectations.</w:t>
      </w:r>
      <w:r w:rsidR="0083287E">
        <w:rPr>
          <w:rStyle w:val="FootnoteReference"/>
          <w:rFonts w:cstheme="minorHAnsi"/>
        </w:rPr>
        <w:footnoteReference w:id="86"/>
      </w:r>
    </w:p>
    <w:p w14:paraId="0787099E" w14:textId="5FF4FBE4" w:rsidR="00E26C84" w:rsidRPr="00E32024" w:rsidRDefault="00E26C84" w:rsidP="00975036">
      <w:pPr>
        <w:pStyle w:val="numberedtext"/>
        <w:numPr>
          <w:ilvl w:val="0"/>
          <w:numId w:val="19"/>
        </w:numPr>
        <w:ind w:left="573" w:hanging="573"/>
        <w:rPr>
          <w:rFonts w:cstheme="minorHAnsi"/>
        </w:rPr>
      </w:pPr>
      <w:r w:rsidRPr="00E32024">
        <w:rPr>
          <w:rFonts w:cstheme="minorHAnsi"/>
        </w:rPr>
        <w:lastRenderedPageBreak/>
        <w:t xml:space="preserve">The FRAA notes there is no commentary in these documents as to whether ASIC considers it has been effective in achieving its priorities. The Corporate Plan outlines the sources of evidence it will use to </w:t>
      </w:r>
      <w:r w:rsidR="004C4B0B" w:rsidRPr="00E32024">
        <w:rPr>
          <w:rFonts w:cstheme="minorHAnsi"/>
        </w:rPr>
        <w:t>measure progress to achiev</w:t>
      </w:r>
      <w:r w:rsidR="004C136F">
        <w:rPr>
          <w:rFonts w:cstheme="minorHAnsi"/>
        </w:rPr>
        <w:t>e</w:t>
      </w:r>
      <w:r w:rsidR="004C4B0B" w:rsidRPr="00E32024">
        <w:rPr>
          <w:rFonts w:cstheme="minorHAnsi"/>
        </w:rPr>
        <w:t xml:space="preserve"> ASIC</w:t>
      </w:r>
      <w:r w:rsidR="00EF40B0">
        <w:rPr>
          <w:rFonts w:cstheme="minorHAnsi"/>
        </w:rPr>
        <w:t>’</w:t>
      </w:r>
      <w:r w:rsidR="004C4B0B" w:rsidRPr="00E32024">
        <w:rPr>
          <w:rFonts w:cstheme="minorHAnsi"/>
        </w:rPr>
        <w:t>s</w:t>
      </w:r>
      <w:r w:rsidRPr="00E32024">
        <w:rPr>
          <w:rFonts w:cstheme="minorHAnsi"/>
        </w:rPr>
        <w:t xml:space="preserve"> desired outcomes</w:t>
      </w:r>
      <w:r w:rsidR="004C136F">
        <w:rPr>
          <w:rFonts w:cstheme="minorHAnsi"/>
        </w:rPr>
        <w:t>.</w:t>
      </w:r>
      <w:r w:rsidRPr="00E32024">
        <w:rPr>
          <w:rFonts w:cstheme="minorHAnsi"/>
        </w:rPr>
        <w:t xml:space="preserve"> </w:t>
      </w:r>
      <w:r w:rsidR="004C136F">
        <w:rPr>
          <w:rFonts w:cstheme="minorHAnsi"/>
        </w:rPr>
        <w:t>I</w:t>
      </w:r>
      <w:r w:rsidRPr="00E32024">
        <w:rPr>
          <w:rFonts w:cstheme="minorHAnsi"/>
        </w:rPr>
        <w:t>t is not clear whether this evidence has been used in the Annual Report as there is no assessment as to the success</w:t>
      </w:r>
      <w:r w:rsidR="00BF3DC6">
        <w:rPr>
          <w:rFonts w:cstheme="minorHAnsi"/>
        </w:rPr>
        <w:t xml:space="preserve"> or otherwise </w:t>
      </w:r>
      <w:r w:rsidRPr="00E32024">
        <w:rPr>
          <w:rFonts w:cstheme="minorHAnsi"/>
        </w:rPr>
        <w:t>of the activity ASIC undertakes during the year</w:t>
      </w:r>
      <w:r w:rsidR="00A344B6">
        <w:rPr>
          <w:rFonts w:cstheme="minorHAnsi"/>
        </w:rPr>
        <w:t>.</w:t>
      </w:r>
    </w:p>
    <w:p w14:paraId="6288AC04" w14:textId="480E0C98" w:rsidR="00E26C84" w:rsidRPr="00E32024" w:rsidRDefault="00E26C84" w:rsidP="00975036">
      <w:pPr>
        <w:pStyle w:val="numberedtext"/>
        <w:numPr>
          <w:ilvl w:val="0"/>
          <w:numId w:val="19"/>
        </w:numPr>
        <w:ind w:left="573" w:hanging="573"/>
        <w:rPr>
          <w:rFonts w:cstheme="minorHAnsi"/>
        </w:rPr>
      </w:pPr>
      <w:r w:rsidRPr="00E32024">
        <w:rPr>
          <w:rFonts w:cstheme="minorHAnsi"/>
        </w:rPr>
        <w:t>ASIC noted in its 2020</w:t>
      </w:r>
      <w:r w:rsidR="008C5577">
        <w:t>–</w:t>
      </w:r>
      <w:r w:rsidRPr="00E32024">
        <w:rPr>
          <w:rFonts w:cstheme="minorHAnsi"/>
        </w:rPr>
        <w:t>21 Annual Report that it is enhancing the quantitative measures it uses to report on efficiency and effectiveness. Projects include:</w:t>
      </w:r>
    </w:p>
    <w:p w14:paraId="303C0972" w14:textId="59761AB5" w:rsidR="004C4B0B" w:rsidRPr="00812515" w:rsidRDefault="004C4B0B" w:rsidP="00812515">
      <w:pPr>
        <w:pStyle w:val="Bullet"/>
      </w:pPr>
      <w:r w:rsidRPr="00812515">
        <w:t xml:space="preserve">Efficiency measures, where ASIC expects to produce a </w:t>
      </w:r>
      <w:r w:rsidR="00EF40B0" w:rsidRPr="00812515">
        <w:t>‘</w:t>
      </w:r>
      <w:r w:rsidRPr="00812515">
        <w:t>scorecard</w:t>
      </w:r>
      <w:r w:rsidR="00EF40B0" w:rsidRPr="00812515">
        <w:t>’</w:t>
      </w:r>
      <w:r w:rsidRPr="00812515">
        <w:t xml:space="preserve"> of metrics to support an assessment of ASIC</w:t>
      </w:r>
      <w:r w:rsidR="00EF40B0" w:rsidRPr="00812515">
        <w:t>’</w:t>
      </w:r>
      <w:r w:rsidRPr="00812515">
        <w:t>s efficiency.</w:t>
      </w:r>
    </w:p>
    <w:p w14:paraId="0A4314C9" w14:textId="42EC3836" w:rsidR="004C4B0B" w:rsidRPr="003A59C7" w:rsidRDefault="004C4B0B" w:rsidP="00840E20">
      <w:pPr>
        <w:pStyle w:val="Bullet"/>
        <w:tabs>
          <w:tab w:val="clear" w:pos="851"/>
          <w:tab w:val="num" w:pos="850"/>
          <w:tab w:val="num" w:pos="1229"/>
        </w:tabs>
      </w:pPr>
      <w:r>
        <w:t>M</w:t>
      </w:r>
      <w:r w:rsidRPr="003A59C7">
        <w:t xml:space="preserve">easures of </w:t>
      </w:r>
      <w:r>
        <w:t xml:space="preserve">the impact of </w:t>
      </w:r>
      <w:r w:rsidRPr="003A59C7">
        <w:t>major projects on reducing harms for consumers and investors through ASIC</w:t>
      </w:r>
      <w:r w:rsidR="00EF40B0">
        <w:t>’</w:t>
      </w:r>
      <w:r w:rsidRPr="003A59C7">
        <w:t>s Impact Assessment Framework</w:t>
      </w:r>
      <w:r>
        <w:t xml:space="preserve"> (refer </w:t>
      </w:r>
      <w:r w:rsidR="005C7E83">
        <w:t>paragraph</w:t>
      </w:r>
      <w:r>
        <w:t xml:space="preserve"> </w:t>
      </w:r>
      <w:r w:rsidR="00A6032A">
        <w:t>4.84</w:t>
      </w:r>
      <w:r>
        <w:t>).</w:t>
      </w:r>
    </w:p>
    <w:p w14:paraId="4A81299A" w14:textId="69FD2834" w:rsidR="004C4B0B" w:rsidRPr="003A59C7" w:rsidRDefault="004C4B0B" w:rsidP="00840E20">
      <w:pPr>
        <w:pStyle w:val="Bullet"/>
        <w:tabs>
          <w:tab w:val="clear" w:pos="851"/>
          <w:tab w:val="num" w:pos="850"/>
          <w:tab w:val="num" w:pos="1229"/>
        </w:tabs>
      </w:pPr>
      <w:r>
        <w:t>K</w:t>
      </w:r>
      <w:r w:rsidRPr="003A59C7">
        <w:t xml:space="preserve">ey performance indicators for enforcement </w:t>
      </w:r>
      <w:r w:rsidR="00A6263D">
        <w:t>(</w:t>
      </w:r>
      <w:r w:rsidRPr="003A59C7">
        <w:t xml:space="preserve">which are yet to receive </w:t>
      </w:r>
      <w:r>
        <w:t xml:space="preserve">the </w:t>
      </w:r>
      <w:r w:rsidRPr="003A59C7">
        <w:t>Commission</w:t>
      </w:r>
      <w:r w:rsidR="00EF40B0">
        <w:t>’</w:t>
      </w:r>
      <w:r>
        <w:t>s</w:t>
      </w:r>
      <w:r w:rsidRPr="003A59C7">
        <w:t xml:space="preserve"> approval</w:t>
      </w:r>
      <w:r w:rsidR="00A6263D">
        <w:t>)</w:t>
      </w:r>
      <w:r>
        <w:t>.</w:t>
      </w:r>
    </w:p>
    <w:p w14:paraId="5825D6D4" w14:textId="77777777" w:rsidR="00E26C84" w:rsidRPr="003A59C7" w:rsidRDefault="004C4B0B" w:rsidP="00840E20">
      <w:pPr>
        <w:pStyle w:val="Bullet"/>
        <w:tabs>
          <w:tab w:val="clear" w:pos="851"/>
          <w:tab w:val="num" w:pos="850"/>
          <w:tab w:val="num" w:pos="1229"/>
        </w:tabs>
      </w:pPr>
      <w:r>
        <w:t>M</w:t>
      </w:r>
      <w:r w:rsidRPr="003A59C7">
        <w:t>easures</w:t>
      </w:r>
      <w:r w:rsidR="00E26C84" w:rsidRPr="003A59C7">
        <w:t xml:space="preserve"> relating to new data streams, such as internal dispute resolution and breach reports, which is in its very early stages.</w:t>
      </w:r>
    </w:p>
    <w:p w14:paraId="3EAF73B5" w14:textId="7AD39681" w:rsidR="00E26C84" w:rsidRPr="00E32024" w:rsidRDefault="00E26C84" w:rsidP="00975036">
      <w:pPr>
        <w:pStyle w:val="numberedtext"/>
        <w:numPr>
          <w:ilvl w:val="0"/>
          <w:numId w:val="19"/>
        </w:numPr>
        <w:ind w:left="573" w:hanging="573"/>
        <w:rPr>
          <w:rFonts w:cstheme="minorHAnsi"/>
        </w:rPr>
      </w:pPr>
      <w:r w:rsidRPr="00E32024">
        <w:rPr>
          <w:rFonts w:cstheme="minorHAnsi"/>
        </w:rPr>
        <w:t>The outputs of these projects are not yet included in ASIC</w:t>
      </w:r>
      <w:r w:rsidR="00EF40B0">
        <w:rPr>
          <w:rFonts w:cstheme="minorHAnsi"/>
        </w:rPr>
        <w:t>’</w:t>
      </w:r>
      <w:r w:rsidRPr="00E32024">
        <w:rPr>
          <w:rFonts w:cstheme="minorHAnsi"/>
        </w:rPr>
        <w:t xml:space="preserve">s public reporting. </w:t>
      </w:r>
    </w:p>
    <w:p w14:paraId="6BF6C7C9" w14:textId="71F6382E" w:rsidR="00E26C84" w:rsidRPr="00E32024" w:rsidRDefault="00E26C84" w:rsidP="00975036">
      <w:pPr>
        <w:pStyle w:val="numberedtext"/>
        <w:numPr>
          <w:ilvl w:val="0"/>
          <w:numId w:val="19"/>
        </w:numPr>
        <w:ind w:left="573" w:hanging="573"/>
        <w:rPr>
          <w:rFonts w:cstheme="minorHAnsi"/>
        </w:rPr>
      </w:pPr>
      <w:r w:rsidRPr="00E32024">
        <w:rPr>
          <w:rFonts w:cstheme="minorHAnsi"/>
        </w:rPr>
        <w:t>The FRAA</w:t>
      </w:r>
      <w:r w:rsidR="00EF40B0">
        <w:rPr>
          <w:rFonts w:cstheme="minorHAnsi"/>
        </w:rPr>
        <w:t>’</w:t>
      </w:r>
      <w:r w:rsidRPr="00E32024">
        <w:rPr>
          <w:rFonts w:cstheme="minorHAnsi"/>
        </w:rPr>
        <w:t xml:space="preserve">s view is that ASIC may benefit from identifying specific metrics tied to desired outcomes in its Corporate Plan, and then report those metrics in its Annual Performance Statement to demonstrate the impact of </w:t>
      </w:r>
      <w:r w:rsidR="004C4B0B" w:rsidRPr="00E32024">
        <w:rPr>
          <w:rFonts w:cstheme="minorHAnsi"/>
        </w:rPr>
        <w:t>its regulatory activity.</w:t>
      </w:r>
      <w:r w:rsidRPr="00E32024">
        <w:rPr>
          <w:rFonts w:cstheme="minorHAnsi"/>
        </w:rPr>
        <w:t xml:space="preserve"> This would serve to better inform stakeholders on ASIC</w:t>
      </w:r>
      <w:r w:rsidR="00EF40B0">
        <w:rPr>
          <w:rFonts w:cstheme="minorHAnsi"/>
        </w:rPr>
        <w:t>’</w:t>
      </w:r>
      <w:r w:rsidRPr="00E32024">
        <w:rPr>
          <w:rFonts w:cstheme="minorHAnsi"/>
        </w:rPr>
        <w:t>s progress and improve the transparency of ASIC</w:t>
      </w:r>
      <w:r w:rsidR="00EF40B0">
        <w:rPr>
          <w:rFonts w:cstheme="minorHAnsi"/>
        </w:rPr>
        <w:t>’</w:t>
      </w:r>
      <w:r w:rsidRPr="00E32024">
        <w:rPr>
          <w:rFonts w:cstheme="minorHAnsi"/>
        </w:rPr>
        <w:t xml:space="preserve">s activity. </w:t>
      </w:r>
    </w:p>
    <w:tbl>
      <w:tblPr>
        <w:tblStyle w:val="TableGrid"/>
        <w:tblW w:w="4685" w:type="pct"/>
        <w:tblInd w:w="567" w:type="dxa"/>
        <w:shd w:val="clear" w:color="auto" w:fill="EAEAEA" w:themeFill="background2"/>
        <w:tblCellMar>
          <w:top w:w="284" w:type="dxa"/>
          <w:left w:w="284" w:type="dxa"/>
          <w:bottom w:w="284" w:type="dxa"/>
          <w:right w:w="284" w:type="dxa"/>
        </w:tblCellMar>
        <w:tblLook w:val="04A0" w:firstRow="1" w:lastRow="0" w:firstColumn="1" w:lastColumn="0" w:noHBand="0" w:noVBand="1"/>
      </w:tblPr>
      <w:tblGrid>
        <w:gridCol w:w="8499"/>
      </w:tblGrid>
      <w:tr w:rsidR="004C4B0B" w:rsidRPr="00663EDA" w14:paraId="7C1D6688" w14:textId="77777777" w:rsidTr="001A1CBE">
        <w:tc>
          <w:tcPr>
            <w:tcW w:w="9026" w:type="dxa"/>
            <w:shd w:val="clear" w:color="auto" w:fill="EAEAEA" w:themeFill="background2"/>
          </w:tcPr>
          <w:p w14:paraId="755B4C79" w14:textId="0F41B474" w:rsidR="004C4B0B" w:rsidRPr="00085FB3" w:rsidRDefault="004C4B0B" w:rsidP="001A1CBE">
            <w:pPr>
              <w:pStyle w:val="BoxHeading"/>
            </w:pPr>
            <w:bookmarkStart w:id="87" w:name="Box_3_2"/>
            <w:r w:rsidRPr="00085FB3">
              <w:t>Box 3.2</w:t>
            </w:r>
            <w:bookmarkEnd w:id="87"/>
            <w:r w:rsidRPr="00085FB3">
              <w:t>: International example –</w:t>
            </w:r>
            <w:r w:rsidR="00A3434B">
              <w:t xml:space="preserve"> </w:t>
            </w:r>
            <w:r w:rsidRPr="00085FB3">
              <w:t>Financial Conduct Authority</w:t>
            </w:r>
          </w:p>
          <w:p w14:paraId="4A91B1DF" w14:textId="4963794D" w:rsidR="004C4B0B" w:rsidRPr="00085FB3" w:rsidRDefault="004C4B0B" w:rsidP="0001492E">
            <w:pPr>
              <w:pStyle w:val="BoxText"/>
            </w:pPr>
            <w:r w:rsidRPr="00085FB3">
              <w:t>In April 2022, the FCA commenced a 3</w:t>
            </w:r>
            <w:r w:rsidR="00EF40B0">
              <w:noBreakHyphen/>
            </w:r>
            <w:r w:rsidRPr="00085FB3">
              <w:t>year strategy of publishing the outcomes it expects in financial services markets and metrics that measure these outcomes. The FCA noted this process was initiated to demonstrate accountability for its progress. The FCA is the first regulator of its kind to produce this type of reporting.</w:t>
            </w:r>
          </w:p>
          <w:p w14:paraId="526191DA" w14:textId="77777777" w:rsidR="004C4B0B" w:rsidRPr="00085FB3" w:rsidRDefault="004C4B0B" w:rsidP="0001492E">
            <w:pPr>
              <w:pStyle w:val="BoxText"/>
            </w:pPr>
            <w:r w:rsidRPr="00085FB3">
              <w:t xml:space="preserve">Outcomes are split into: </w:t>
            </w:r>
          </w:p>
          <w:p w14:paraId="042529DF" w14:textId="2B7CD34B" w:rsidR="004C4B0B" w:rsidRPr="0001492E" w:rsidRDefault="00EF40B0" w:rsidP="00506D4B">
            <w:pPr>
              <w:pStyle w:val="BoxBullet"/>
              <w:rPr>
                <w:lang w:eastAsia="en-US"/>
              </w:rPr>
            </w:pPr>
            <w:r>
              <w:rPr>
                <w:lang w:eastAsia="en-US"/>
              </w:rPr>
              <w:t>‘</w:t>
            </w:r>
            <w:r w:rsidR="004C4B0B" w:rsidRPr="0001492E">
              <w:rPr>
                <w:lang w:eastAsia="en-US"/>
              </w:rPr>
              <w:t>consistent top</w:t>
            </w:r>
            <w:r>
              <w:rPr>
                <w:lang w:eastAsia="en-US"/>
              </w:rPr>
              <w:noBreakHyphen/>
            </w:r>
            <w:r w:rsidR="004C4B0B" w:rsidRPr="0001492E">
              <w:rPr>
                <w:lang w:eastAsia="en-US"/>
              </w:rPr>
              <w:t>line</w:t>
            </w:r>
            <w:r>
              <w:rPr>
                <w:lang w:eastAsia="en-US"/>
              </w:rPr>
              <w:t>’</w:t>
            </w:r>
            <w:r w:rsidR="004C4B0B" w:rsidRPr="0001492E">
              <w:rPr>
                <w:lang w:eastAsia="en-US"/>
              </w:rPr>
              <w:t xml:space="preserve"> outcomes, which stay the same from year to year to demonstrate how the FCA delivers its statutory objectives over time, and </w:t>
            </w:r>
          </w:p>
          <w:p w14:paraId="20C4030A" w14:textId="3F352983" w:rsidR="004C4B0B" w:rsidRPr="0001492E" w:rsidRDefault="00EF40B0" w:rsidP="00506D4B">
            <w:pPr>
              <w:pStyle w:val="BoxBullet"/>
              <w:rPr>
                <w:lang w:eastAsia="en-US"/>
              </w:rPr>
            </w:pPr>
            <w:r>
              <w:rPr>
                <w:lang w:eastAsia="en-US"/>
              </w:rPr>
              <w:t>‘</w:t>
            </w:r>
            <w:r w:rsidR="004C4B0B" w:rsidRPr="0001492E">
              <w:rPr>
                <w:lang w:eastAsia="en-US"/>
              </w:rPr>
              <w:t>commitment outcomes</w:t>
            </w:r>
            <w:r>
              <w:rPr>
                <w:lang w:eastAsia="en-US"/>
              </w:rPr>
              <w:t>’</w:t>
            </w:r>
            <w:r w:rsidR="004C4B0B" w:rsidRPr="0001492E">
              <w:rPr>
                <w:lang w:eastAsia="en-US"/>
              </w:rPr>
              <w:t>, which are set for 3 years based on strategic priorities. The FCA tracks its consistent top</w:t>
            </w:r>
            <w:r>
              <w:rPr>
                <w:lang w:eastAsia="en-US"/>
              </w:rPr>
              <w:noBreakHyphen/>
            </w:r>
            <w:r w:rsidR="004C4B0B" w:rsidRPr="0001492E">
              <w:rPr>
                <w:lang w:eastAsia="en-US"/>
              </w:rPr>
              <w:t xml:space="preserve">line outcomes under themes of fair value, suitability and treatment, confidence, and access. </w:t>
            </w:r>
          </w:p>
          <w:p w14:paraId="1AB564DC" w14:textId="45FF18FD" w:rsidR="004C4B0B" w:rsidRPr="00085FB3" w:rsidRDefault="004C4B0B" w:rsidP="0001492E">
            <w:pPr>
              <w:pStyle w:val="BoxText"/>
              <w:rPr>
                <w:bCs/>
              </w:rPr>
            </w:pPr>
            <w:r w:rsidRPr="00085FB3">
              <w:t xml:space="preserve">For </w:t>
            </w:r>
            <w:r w:rsidR="00440E13">
              <w:t>20</w:t>
            </w:r>
            <w:r w:rsidRPr="00085FB3">
              <w:t>22</w:t>
            </w:r>
            <w:r w:rsidR="00946814">
              <w:t>–</w:t>
            </w:r>
            <w:r w:rsidRPr="00085FB3">
              <w:t>23 the FCA has 13 commitment outcomes that capture its cross</w:t>
            </w:r>
            <w:r w:rsidR="00EF40B0">
              <w:noBreakHyphen/>
            </w:r>
            <w:r w:rsidRPr="00085FB3">
              <w:t xml:space="preserve">organisation priorities. </w:t>
            </w:r>
          </w:p>
          <w:p w14:paraId="3BEB17AD" w14:textId="77777777" w:rsidR="004C4B0B" w:rsidRPr="00085FB3" w:rsidRDefault="004C4B0B" w:rsidP="0001492E">
            <w:pPr>
              <w:pStyle w:val="BoxText"/>
              <w:rPr>
                <w:bCs/>
              </w:rPr>
            </w:pPr>
            <w:r w:rsidRPr="00085FB3">
              <w:t>The FCA sets out these outcomes</w:t>
            </w:r>
            <w:r w:rsidRPr="00085FB3">
              <w:rPr>
                <w:bCs/>
              </w:rPr>
              <w:t xml:space="preserve"> and metrics in its Business Plan and then reports these on its website.</w:t>
            </w:r>
          </w:p>
          <w:p w14:paraId="44F813D3" w14:textId="77777777" w:rsidR="004C4B0B" w:rsidRPr="00663EDA" w:rsidRDefault="004C4B0B" w:rsidP="0001492E">
            <w:pPr>
              <w:pStyle w:val="BoxText"/>
              <w:rPr>
                <w:bCs/>
              </w:rPr>
            </w:pPr>
            <w:r w:rsidRPr="00663EDA">
              <w:rPr>
                <w:bCs/>
              </w:rPr>
              <w:t>The FCA notes that the metrics will evolve over time as the organisation better understands how to measure the outcomes it is seeking to achieve.</w:t>
            </w:r>
          </w:p>
        </w:tc>
      </w:tr>
    </w:tbl>
    <w:p w14:paraId="3EFC802A" w14:textId="77777777" w:rsidR="00931B94" w:rsidRDefault="00931B94">
      <w:pPr>
        <w:spacing w:before="0" w:after="160" w:line="259" w:lineRule="auto"/>
        <w:rPr>
          <w:rFonts w:eastAsia="Yu Gothic Light" w:cs="Arial"/>
          <w:color w:val="005994"/>
          <w:kern w:val="32"/>
          <w:sz w:val="26"/>
          <w:szCs w:val="26"/>
        </w:rPr>
      </w:pPr>
      <w:r>
        <w:rPr>
          <w:rFonts w:eastAsia="Yu Gothic Light"/>
        </w:rPr>
        <w:br w:type="page"/>
      </w:r>
    </w:p>
    <w:p w14:paraId="0EF36A4B" w14:textId="4D2F4333" w:rsidR="00E26C84" w:rsidRPr="007458D7" w:rsidRDefault="000D21B0" w:rsidP="001A1CBE">
      <w:pPr>
        <w:pStyle w:val="Heading4"/>
        <w:rPr>
          <w:rFonts w:eastAsia="Yu Gothic Light"/>
        </w:rPr>
      </w:pPr>
      <w:r w:rsidRPr="00D024EA">
        <w:rPr>
          <w:rFonts w:eastAsia="Yu Gothic Light"/>
        </w:rPr>
        <w:lastRenderedPageBreak/>
        <w:t>Decision</w:t>
      </w:r>
      <w:r w:rsidR="00552559">
        <w:rPr>
          <w:rFonts w:eastAsia="Yu Gothic Light"/>
        </w:rPr>
        <w:t>-</w:t>
      </w:r>
      <w:r w:rsidR="00E26C84" w:rsidRPr="007458D7">
        <w:rPr>
          <w:rFonts w:eastAsia="Yu Gothic Light"/>
        </w:rPr>
        <w:t>making</w:t>
      </w:r>
    </w:p>
    <w:p w14:paraId="2B416E87" w14:textId="385A5D3E" w:rsidR="00E26C84" w:rsidRPr="00E32024" w:rsidRDefault="00E26C84" w:rsidP="00975036">
      <w:pPr>
        <w:pStyle w:val="numberedtext"/>
        <w:numPr>
          <w:ilvl w:val="0"/>
          <w:numId w:val="19"/>
        </w:numPr>
        <w:ind w:left="573" w:hanging="573"/>
        <w:rPr>
          <w:rFonts w:cstheme="minorHAnsi"/>
        </w:rPr>
      </w:pPr>
      <w:r w:rsidRPr="00E32024">
        <w:rPr>
          <w:rFonts w:cstheme="minorHAnsi"/>
        </w:rPr>
        <w:t xml:space="preserve">ASIC noted that accountability for the activities outlined in business plans </w:t>
      </w:r>
      <w:r w:rsidR="004C4B0B" w:rsidRPr="00E32024">
        <w:rPr>
          <w:rFonts w:cstheme="minorHAnsi"/>
        </w:rPr>
        <w:t>is enabled by the Executive Committee.</w:t>
      </w:r>
      <w:r w:rsidRPr="00E32024">
        <w:rPr>
          <w:rFonts w:cstheme="minorHAnsi"/>
        </w:rPr>
        <w:t xml:space="preserve"> The Executive Committee quarterly performance meetings report on business plan deliverables and any issues inhibiting deliverables. Fifty</w:t>
      </w:r>
      <w:r w:rsidR="00EF40B0">
        <w:rPr>
          <w:rFonts w:cstheme="minorHAnsi"/>
        </w:rPr>
        <w:noBreakHyphen/>
      </w:r>
      <w:r w:rsidRPr="00E32024">
        <w:rPr>
          <w:rFonts w:cstheme="minorHAnsi"/>
        </w:rPr>
        <w:t>seven per cent of ASIC staff agreed that they see evidence of accountability for the outcomes of decisions.</w:t>
      </w:r>
      <w:r w:rsidRPr="00062E29">
        <w:rPr>
          <w:rFonts w:cstheme="minorHAnsi"/>
          <w:vertAlign w:val="superscript"/>
        </w:rPr>
        <w:footnoteReference w:id="87"/>
      </w:r>
      <w:r w:rsidRPr="00E32024">
        <w:rPr>
          <w:rFonts w:cstheme="minorHAnsi"/>
        </w:rPr>
        <w:t xml:space="preserve"> </w:t>
      </w:r>
    </w:p>
    <w:p w14:paraId="0839FC20" w14:textId="40E319FA" w:rsidR="00E26C84" w:rsidRPr="00E32024" w:rsidRDefault="00E26C84" w:rsidP="00975036">
      <w:pPr>
        <w:pStyle w:val="numberedtext"/>
        <w:numPr>
          <w:ilvl w:val="0"/>
          <w:numId w:val="19"/>
        </w:numPr>
        <w:ind w:left="573" w:hanging="573"/>
        <w:rPr>
          <w:rFonts w:cstheme="minorHAnsi"/>
        </w:rPr>
      </w:pPr>
      <w:r w:rsidRPr="00E32024">
        <w:rPr>
          <w:rFonts w:cstheme="minorHAnsi"/>
        </w:rPr>
        <w:t>ASIC has also recently established a new framework to assess executive director performance. This includes details of capabilities, compliance measures and a performance expectations scorecard. Executive directors must also report against ASIC</w:t>
      </w:r>
      <w:r w:rsidR="00EF40B0">
        <w:rPr>
          <w:rFonts w:cstheme="minorHAnsi"/>
        </w:rPr>
        <w:t>’</w:t>
      </w:r>
      <w:r w:rsidRPr="00E32024">
        <w:rPr>
          <w:rFonts w:cstheme="minorHAnsi"/>
        </w:rPr>
        <w:t xml:space="preserve">s Management Accountability Regime accountability statement. </w:t>
      </w:r>
    </w:p>
    <w:p w14:paraId="338A0B40" w14:textId="4564F3FC" w:rsidR="00E26C84" w:rsidRPr="00E32024" w:rsidRDefault="00E26C84" w:rsidP="00975036">
      <w:pPr>
        <w:pStyle w:val="numberedtext"/>
        <w:numPr>
          <w:ilvl w:val="0"/>
          <w:numId w:val="19"/>
        </w:numPr>
        <w:ind w:left="573" w:hanging="573"/>
        <w:rPr>
          <w:rFonts w:cstheme="minorHAnsi"/>
        </w:rPr>
      </w:pPr>
      <w:r w:rsidRPr="00E32024">
        <w:rPr>
          <w:rFonts w:cstheme="minorHAnsi"/>
        </w:rPr>
        <w:t>The FRAA notes that ASIC does not routinely review the outcomes of its major activities to determine the appropriateness of</w:t>
      </w:r>
      <w:r w:rsidR="00093FD4">
        <w:rPr>
          <w:rFonts w:cstheme="minorHAnsi"/>
        </w:rPr>
        <w:t xml:space="preserve"> its</w:t>
      </w:r>
      <w:r w:rsidRPr="00E32024">
        <w:rPr>
          <w:rFonts w:cstheme="minorHAnsi"/>
        </w:rPr>
        <w:t xml:space="preserve"> decision</w:t>
      </w:r>
      <w:r w:rsidR="00EF40B0">
        <w:rPr>
          <w:rFonts w:cstheme="minorHAnsi"/>
        </w:rPr>
        <w:noBreakHyphen/>
      </w:r>
      <w:r w:rsidRPr="00E32024">
        <w:rPr>
          <w:rFonts w:cstheme="minorHAnsi"/>
        </w:rPr>
        <w:t>making. ASIC has recently developed and begun to embed an impact assessment framework to measure the effectiveness of its major surveillance activities</w:t>
      </w:r>
      <w:r w:rsidR="00683655">
        <w:rPr>
          <w:rFonts w:cstheme="minorHAnsi"/>
        </w:rPr>
        <w:t>. T</w:t>
      </w:r>
      <w:r w:rsidRPr="00E32024">
        <w:rPr>
          <w:rFonts w:cstheme="minorHAnsi"/>
        </w:rPr>
        <w:t>he FRAA considers that</w:t>
      </w:r>
      <w:r w:rsidR="00EE49F8">
        <w:rPr>
          <w:rFonts w:cstheme="minorHAnsi"/>
        </w:rPr>
        <w:t xml:space="preserve"> such</w:t>
      </w:r>
      <w:r w:rsidRPr="00E32024">
        <w:rPr>
          <w:rFonts w:cstheme="minorHAnsi"/>
        </w:rPr>
        <w:t xml:space="preserve"> ex</w:t>
      </w:r>
      <w:r w:rsidR="00EF40B0">
        <w:rPr>
          <w:rFonts w:cstheme="minorHAnsi"/>
        </w:rPr>
        <w:noBreakHyphen/>
      </w:r>
      <w:r w:rsidRPr="00E32024">
        <w:rPr>
          <w:rFonts w:cstheme="minorHAnsi"/>
        </w:rPr>
        <w:t>post analysis could be utilised more broadly across the organisation.</w:t>
      </w:r>
      <w:r w:rsidRPr="00062E29">
        <w:rPr>
          <w:rFonts w:cstheme="minorHAnsi"/>
          <w:vertAlign w:val="superscript"/>
        </w:rPr>
        <w:footnoteReference w:id="88"/>
      </w:r>
      <w:r w:rsidRPr="00E32024">
        <w:rPr>
          <w:rFonts w:cstheme="minorHAnsi"/>
        </w:rPr>
        <w:t xml:space="preserve"> This analysis will help ASIC to better understand the causes of success and failure across a range of its initiatives. </w:t>
      </w:r>
      <w:r w:rsidR="004C4B0B" w:rsidRPr="00E32024">
        <w:rPr>
          <w:rFonts w:cstheme="minorHAnsi"/>
        </w:rPr>
        <w:t>To be effective, this process requires ASIC to more clearly define and measure progress against its desired outcomes</w:t>
      </w:r>
      <w:r w:rsidRPr="00E32024">
        <w:rPr>
          <w:rFonts w:cstheme="minorHAnsi"/>
        </w:rPr>
        <w:t>.</w:t>
      </w:r>
    </w:p>
    <w:p w14:paraId="51DE75DC" w14:textId="77777777" w:rsidR="00961C4E" w:rsidRPr="00961C4E" w:rsidRDefault="00961C4E" w:rsidP="004C4B0B">
      <w:pPr>
        <w:pStyle w:val="Heading2"/>
        <w:rPr>
          <w:rFonts w:eastAsia="Yu Gothic Light"/>
        </w:rPr>
      </w:pPr>
      <w:bookmarkStart w:id="88" w:name="_Toc110241824"/>
      <w:r w:rsidRPr="00961C4E">
        <w:rPr>
          <w:rFonts w:eastAsia="Yu Gothic Light"/>
        </w:rPr>
        <w:t>Planned initiatives</w:t>
      </w:r>
      <w:bookmarkEnd w:id="88"/>
    </w:p>
    <w:p w14:paraId="5E5C4A11" w14:textId="485EEAAF" w:rsidR="00961C4E" w:rsidRPr="00E32024" w:rsidRDefault="00961C4E" w:rsidP="00975036">
      <w:pPr>
        <w:pStyle w:val="numberedtext"/>
        <w:numPr>
          <w:ilvl w:val="0"/>
          <w:numId w:val="19"/>
        </w:numPr>
        <w:ind w:left="573" w:hanging="573"/>
        <w:rPr>
          <w:rFonts w:cstheme="minorHAnsi"/>
        </w:rPr>
      </w:pPr>
      <w:r w:rsidRPr="00E32024">
        <w:rPr>
          <w:rFonts w:cstheme="minorHAnsi"/>
        </w:rPr>
        <w:t xml:space="preserve">Throughout this </w:t>
      </w:r>
      <w:r w:rsidR="00FF1551">
        <w:rPr>
          <w:rFonts w:cstheme="minorHAnsi"/>
        </w:rPr>
        <w:t>r</w:t>
      </w:r>
      <w:r w:rsidRPr="00E32024">
        <w:rPr>
          <w:rFonts w:cstheme="minorHAnsi"/>
        </w:rPr>
        <w:t xml:space="preserve">eview, ASIC has identified a number of initiatives to improve the effectiveness of its </w:t>
      </w:r>
      <w:r w:rsidR="009808FE" w:rsidRPr="00E32024">
        <w:rPr>
          <w:rFonts w:cstheme="minorHAnsi"/>
        </w:rPr>
        <w:t>strategic prioritisation, planning and decision</w:t>
      </w:r>
      <w:r w:rsidR="00EF40B0">
        <w:rPr>
          <w:rFonts w:cstheme="minorHAnsi"/>
        </w:rPr>
        <w:noBreakHyphen/>
      </w:r>
      <w:r w:rsidR="009808FE" w:rsidRPr="00E32024">
        <w:rPr>
          <w:rFonts w:cstheme="minorHAnsi"/>
        </w:rPr>
        <w:t>making</w:t>
      </w:r>
      <w:r w:rsidRPr="00E32024">
        <w:rPr>
          <w:rFonts w:cstheme="minorHAnsi"/>
        </w:rPr>
        <w:t xml:space="preserve"> </w:t>
      </w:r>
      <w:r w:rsidR="00DC3EAF" w:rsidRPr="00E32024">
        <w:rPr>
          <w:rFonts w:cstheme="minorHAnsi"/>
        </w:rPr>
        <w:t>processes</w:t>
      </w:r>
      <w:r w:rsidRPr="00E32024">
        <w:rPr>
          <w:rFonts w:cstheme="minorHAnsi"/>
        </w:rPr>
        <w:t xml:space="preserve">. These are summarised in </w:t>
      </w:r>
      <w:r w:rsidR="00A6032A" w:rsidRPr="00AE72B0">
        <w:t>Box 3.</w:t>
      </w:r>
      <w:r w:rsidR="00A6032A">
        <w:t>3</w:t>
      </w:r>
      <w:r w:rsidR="00AC2839">
        <w:rPr>
          <w:rFonts w:cstheme="minorHAnsi"/>
        </w:rPr>
        <w:t>.</w:t>
      </w:r>
    </w:p>
    <w:tbl>
      <w:tblPr>
        <w:tblStyle w:val="TableGrid"/>
        <w:tblW w:w="0" w:type="auto"/>
        <w:tblInd w:w="520" w:type="dxa"/>
        <w:shd w:val="clear" w:color="auto" w:fill="EAEAEA" w:themeFill="background2"/>
        <w:tblCellMar>
          <w:top w:w="170" w:type="dxa"/>
          <w:left w:w="170" w:type="dxa"/>
          <w:bottom w:w="170" w:type="dxa"/>
          <w:right w:w="170" w:type="dxa"/>
        </w:tblCellMar>
        <w:tblLook w:val="04A0" w:firstRow="1" w:lastRow="0" w:firstColumn="1" w:lastColumn="0" w:noHBand="0" w:noVBand="1"/>
      </w:tblPr>
      <w:tblGrid>
        <w:gridCol w:w="8550"/>
      </w:tblGrid>
      <w:tr w:rsidR="004C4B0B" w:rsidRPr="00AE72B0" w14:paraId="03FD7B60" w14:textId="77777777" w:rsidTr="0001492E">
        <w:tc>
          <w:tcPr>
            <w:tcW w:w="9026" w:type="dxa"/>
            <w:shd w:val="clear" w:color="auto" w:fill="EAEAEA" w:themeFill="background2"/>
          </w:tcPr>
          <w:p w14:paraId="15926384" w14:textId="6726BA16" w:rsidR="004C4B0B" w:rsidRPr="00AE72B0" w:rsidRDefault="004C4B0B" w:rsidP="0001492E">
            <w:pPr>
              <w:pStyle w:val="BoxHeading"/>
            </w:pPr>
            <w:bookmarkStart w:id="89" w:name="Box_3_3"/>
            <w:r w:rsidRPr="00AE72B0">
              <w:t>Box 3.</w:t>
            </w:r>
            <w:r>
              <w:t>3</w:t>
            </w:r>
            <w:bookmarkEnd w:id="89"/>
            <w:r w:rsidRPr="00AE72B0">
              <w:t xml:space="preserve">: </w:t>
            </w:r>
            <w:r>
              <w:t xml:space="preserve">Current </w:t>
            </w:r>
            <w:r w:rsidRPr="00AE72B0">
              <w:t>ASIC actions to improve the effectiveness and capability of strategic prioritisation, planning and decision</w:t>
            </w:r>
            <w:r w:rsidR="00EF40B0">
              <w:noBreakHyphen/>
            </w:r>
            <w:r w:rsidRPr="00AE72B0">
              <w:t>making</w:t>
            </w:r>
          </w:p>
          <w:p w14:paraId="2C0083AA" w14:textId="7656DC61" w:rsidR="004C4B0B" w:rsidRPr="00AE72B0" w:rsidRDefault="004C4B0B" w:rsidP="0001492E">
            <w:pPr>
              <w:pStyle w:val="BoxBullet"/>
            </w:pPr>
            <w:r>
              <w:t>Amending its</w:t>
            </w:r>
            <w:r w:rsidRPr="00AE72B0">
              <w:t xml:space="preserve"> strategic planning process, including longer term priorities and better integration of the budget setting process (</w:t>
            </w:r>
            <w:r w:rsidR="00440E13">
              <w:t>20</w:t>
            </w:r>
            <w:r w:rsidRPr="00AE72B0">
              <w:t>22</w:t>
            </w:r>
            <w:r w:rsidR="00946814">
              <w:t>–</w:t>
            </w:r>
            <w:r w:rsidRPr="00AE72B0">
              <w:t>23).</w:t>
            </w:r>
          </w:p>
          <w:p w14:paraId="2AC7D9E4" w14:textId="30E8F08D" w:rsidR="004C4B0B" w:rsidRPr="00AE72B0" w:rsidRDefault="004C4B0B" w:rsidP="0001492E">
            <w:pPr>
              <w:pStyle w:val="BoxBullet"/>
            </w:pPr>
            <w:r w:rsidRPr="00AE72B0">
              <w:t>Communicat</w:t>
            </w:r>
            <w:r>
              <w:t>ing</w:t>
            </w:r>
            <w:r w:rsidRPr="00AE72B0">
              <w:t xml:space="preserve"> short</w:t>
            </w:r>
            <w:r w:rsidR="00EF40B0">
              <w:noBreakHyphen/>
            </w:r>
            <w:r w:rsidRPr="00AE72B0">
              <w:t>term concrete work and initiatives (no implementation timeframe).</w:t>
            </w:r>
          </w:p>
          <w:p w14:paraId="4FFEBE18" w14:textId="77777777" w:rsidR="004C4B0B" w:rsidRPr="00AE72B0" w:rsidRDefault="004C4B0B" w:rsidP="0001492E">
            <w:pPr>
              <w:pStyle w:val="BoxBullet"/>
            </w:pPr>
            <w:r>
              <w:t>Enhancing</w:t>
            </w:r>
            <w:r w:rsidRPr="00AE72B0">
              <w:t xml:space="preserve"> the quantitative measures ASIC uses to report on efficiency and effectiveness (no implementation timeframe).</w:t>
            </w:r>
          </w:p>
          <w:p w14:paraId="5C69221E" w14:textId="2E43C7D0" w:rsidR="004C4B0B" w:rsidRDefault="008D369B" w:rsidP="0001492E">
            <w:pPr>
              <w:pStyle w:val="BoxBullet"/>
            </w:pPr>
            <w:r>
              <w:t>I</w:t>
            </w:r>
            <w:r w:rsidR="004C4B0B" w:rsidRPr="00AE72B0">
              <w:t>nitiatives of the Regulatory Efficiency Unit to consider ASIC</w:t>
            </w:r>
            <w:r w:rsidR="00EF40B0">
              <w:t>’</w:t>
            </w:r>
            <w:r w:rsidR="004C4B0B" w:rsidRPr="00AE72B0">
              <w:t>s approach to regulatory guidance, options to improve ASIC</w:t>
            </w:r>
            <w:r w:rsidR="00EF40B0">
              <w:t>’</w:t>
            </w:r>
            <w:r w:rsidR="004C4B0B" w:rsidRPr="00AE72B0">
              <w:t>s use of information</w:t>
            </w:r>
            <w:r w:rsidR="002B570D">
              <w:t>-</w:t>
            </w:r>
            <w:r w:rsidR="004C4B0B" w:rsidRPr="00AE72B0">
              <w:t>gathering powers and enhance stakeholder engagement (</w:t>
            </w:r>
            <w:r w:rsidR="00440E13">
              <w:t>20</w:t>
            </w:r>
            <w:r w:rsidR="004C4B0B" w:rsidRPr="00AE72B0">
              <w:t>22</w:t>
            </w:r>
            <w:r w:rsidR="00857CF7">
              <w:t>–</w:t>
            </w:r>
            <w:r w:rsidR="004C4B0B" w:rsidRPr="00AE72B0">
              <w:t xml:space="preserve">23 to </w:t>
            </w:r>
            <w:r w:rsidR="00440E13">
              <w:t>20</w:t>
            </w:r>
            <w:r w:rsidR="004C4B0B" w:rsidRPr="00AE72B0">
              <w:t>23</w:t>
            </w:r>
            <w:r w:rsidR="00857CF7">
              <w:t>–</w:t>
            </w:r>
            <w:r w:rsidR="004C4B0B" w:rsidRPr="00AE72B0">
              <w:t>24).</w:t>
            </w:r>
          </w:p>
          <w:p w14:paraId="388573DE" w14:textId="6CD33A8D" w:rsidR="004F7EED" w:rsidRDefault="004F7EED" w:rsidP="0001492E">
            <w:pPr>
              <w:pStyle w:val="BoxBullet"/>
            </w:pPr>
            <w:r>
              <w:t>Implementing the digital capability uplift initiatives outlined in ASIC</w:t>
            </w:r>
            <w:r w:rsidR="00EF40B0">
              <w:t>’</w:t>
            </w:r>
            <w:r>
              <w:t>s Digital Strategy 2030.</w:t>
            </w:r>
          </w:p>
          <w:p w14:paraId="7ACF7662" w14:textId="2FD77C92" w:rsidR="004F7EED" w:rsidRPr="00AE72B0" w:rsidRDefault="004F7EED" w:rsidP="0001492E">
            <w:pPr>
              <w:pStyle w:val="BoxBullet"/>
            </w:pPr>
            <w:r>
              <w:t>Identifying and implementing 8 core strategic projects that will be set out in ASIC</w:t>
            </w:r>
            <w:r w:rsidR="00EF40B0">
              <w:t>’</w:t>
            </w:r>
            <w:r>
              <w:t>s 2022</w:t>
            </w:r>
            <w:r w:rsidR="00857CF7">
              <w:t>–</w:t>
            </w:r>
            <w:r>
              <w:t xml:space="preserve">26 Corporate Plan. </w:t>
            </w:r>
          </w:p>
        </w:tc>
      </w:tr>
    </w:tbl>
    <w:p w14:paraId="7B80C8DF" w14:textId="77777777" w:rsidR="00931B94" w:rsidRDefault="00931B94">
      <w:pPr>
        <w:spacing w:before="0" w:after="160" w:line="259" w:lineRule="auto"/>
        <w:rPr>
          <w:rFonts w:asciiTheme="minorHAnsi" w:eastAsiaTheme="minorHAnsi" w:hAnsiTheme="minorHAnsi" w:cstheme="minorHAnsi"/>
          <w:iCs/>
          <w:color w:val="003379"/>
          <w:kern w:val="32"/>
          <w:sz w:val="36"/>
          <w:szCs w:val="36"/>
        </w:rPr>
      </w:pPr>
      <w:bookmarkStart w:id="90" w:name="_Toc110241825"/>
      <w:r>
        <w:rPr>
          <w:rFonts w:asciiTheme="minorHAnsi" w:eastAsiaTheme="minorHAnsi" w:hAnsiTheme="minorHAnsi" w:cstheme="minorHAnsi"/>
          <w:szCs w:val="36"/>
        </w:rPr>
        <w:br w:type="page"/>
      </w:r>
    </w:p>
    <w:p w14:paraId="2E72C966" w14:textId="540C6B64" w:rsidR="00E26C84" w:rsidRPr="00FF3DEC" w:rsidRDefault="00E26C84" w:rsidP="000D21B0">
      <w:pPr>
        <w:pStyle w:val="Heading2"/>
        <w:rPr>
          <w:rFonts w:asciiTheme="minorHAnsi" w:eastAsiaTheme="minorHAnsi" w:hAnsiTheme="minorHAnsi" w:cstheme="minorHAnsi"/>
          <w:szCs w:val="36"/>
        </w:rPr>
      </w:pPr>
      <w:r w:rsidRPr="00FF3DEC">
        <w:rPr>
          <w:rFonts w:asciiTheme="minorHAnsi" w:eastAsiaTheme="minorHAnsi" w:hAnsiTheme="minorHAnsi" w:cstheme="minorHAnsi"/>
          <w:szCs w:val="36"/>
        </w:rPr>
        <w:lastRenderedPageBreak/>
        <w:t>Assessment</w:t>
      </w:r>
      <w:bookmarkEnd w:id="90"/>
    </w:p>
    <w:p w14:paraId="04A51863" w14:textId="527AFAF3" w:rsidR="004C4B0B" w:rsidRPr="00E32024" w:rsidRDefault="004C4B0B" w:rsidP="00812515">
      <w:pPr>
        <w:pStyle w:val="numberedtext"/>
        <w:numPr>
          <w:ilvl w:val="0"/>
          <w:numId w:val="19"/>
        </w:numPr>
        <w:ind w:left="573" w:hanging="573"/>
        <w:rPr>
          <w:rFonts w:cstheme="minorHAnsi"/>
        </w:rPr>
      </w:pPr>
      <w:r w:rsidRPr="00E32024">
        <w:rPr>
          <w:rFonts w:cstheme="minorHAnsi"/>
        </w:rPr>
        <w:t>In the FRAA</w:t>
      </w:r>
      <w:r w:rsidR="00EF40B0">
        <w:rPr>
          <w:rFonts w:cstheme="minorHAnsi"/>
        </w:rPr>
        <w:t>’</w:t>
      </w:r>
      <w:r w:rsidRPr="00E32024">
        <w:rPr>
          <w:rFonts w:cstheme="minorHAnsi"/>
        </w:rPr>
        <w:t>s view</w:t>
      </w:r>
      <w:r w:rsidR="000168DE">
        <w:rPr>
          <w:rFonts w:cstheme="minorHAnsi"/>
        </w:rPr>
        <w:t>,</w:t>
      </w:r>
      <w:r w:rsidRPr="00E32024">
        <w:rPr>
          <w:rFonts w:cstheme="minorHAnsi"/>
        </w:rPr>
        <w:t xml:space="preserve"> ASIC</w:t>
      </w:r>
      <w:r w:rsidR="00EF40B0">
        <w:rPr>
          <w:rFonts w:cstheme="minorHAnsi"/>
        </w:rPr>
        <w:t>’</w:t>
      </w:r>
      <w:r w:rsidRPr="00E32024">
        <w:rPr>
          <w:rFonts w:cstheme="minorHAnsi"/>
        </w:rPr>
        <w:t>s strategic prioritisation, planning and decision</w:t>
      </w:r>
      <w:r w:rsidR="00EF40B0">
        <w:rPr>
          <w:rFonts w:cstheme="minorHAnsi"/>
        </w:rPr>
        <w:noBreakHyphen/>
      </w:r>
      <w:r w:rsidRPr="00E32024">
        <w:rPr>
          <w:rFonts w:cstheme="minorHAnsi"/>
        </w:rPr>
        <w:t>making processes</w:t>
      </w:r>
      <w:r w:rsidR="00B4648D">
        <w:rPr>
          <w:rFonts w:cstheme="minorHAnsi"/>
        </w:rPr>
        <w:t xml:space="preserve"> are generally effective in supporting </w:t>
      </w:r>
      <w:r w:rsidR="009B5080">
        <w:rPr>
          <w:rFonts w:cstheme="minorHAnsi"/>
        </w:rPr>
        <w:t>A</w:t>
      </w:r>
      <w:r w:rsidR="00B4648D">
        <w:rPr>
          <w:rFonts w:cstheme="minorHAnsi"/>
        </w:rPr>
        <w:t>SIC</w:t>
      </w:r>
      <w:r w:rsidR="00EF40B0">
        <w:rPr>
          <w:rFonts w:cstheme="minorHAnsi"/>
        </w:rPr>
        <w:t>’</w:t>
      </w:r>
      <w:r w:rsidR="00B4648D">
        <w:rPr>
          <w:rFonts w:cstheme="minorHAnsi"/>
        </w:rPr>
        <w:t xml:space="preserve">s </w:t>
      </w:r>
      <w:r w:rsidR="009B5080">
        <w:rPr>
          <w:rFonts w:cstheme="minorHAnsi"/>
        </w:rPr>
        <w:t>operations</w:t>
      </w:r>
      <w:r w:rsidRPr="00E32024">
        <w:rPr>
          <w:rFonts w:cstheme="minorHAnsi"/>
        </w:rPr>
        <w:t>. However, there are a number of enhancements ASIC should conside</w:t>
      </w:r>
      <w:r w:rsidR="009B5080">
        <w:rPr>
          <w:rFonts w:cstheme="minorHAnsi"/>
        </w:rPr>
        <w:t>r, such as the need to</w:t>
      </w:r>
      <w:r w:rsidRPr="00E32024">
        <w:rPr>
          <w:rFonts w:cstheme="minorHAnsi"/>
        </w:rPr>
        <w:t>:</w:t>
      </w:r>
    </w:p>
    <w:p w14:paraId="4CA548A2" w14:textId="481D110C" w:rsidR="004C4B0B" w:rsidRPr="00812515" w:rsidRDefault="004C4B0B" w:rsidP="00923A66">
      <w:pPr>
        <w:pStyle w:val="Bullet"/>
      </w:pPr>
      <w:r w:rsidRPr="00812515">
        <w:t xml:space="preserve">Maintain a clear view of the critical </w:t>
      </w:r>
      <w:r w:rsidR="009754FB" w:rsidRPr="00812515">
        <w:t>organisation-wide</w:t>
      </w:r>
      <w:r w:rsidRPr="00812515">
        <w:t xml:space="preserve"> set priorities and ensure these are adequately resourced. Clarity around critical priorities will support confident decision</w:t>
      </w:r>
      <w:r w:rsidR="00EF40B0" w:rsidRPr="00812515">
        <w:noBreakHyphen/>
      </w:r>
      <w:r w:rsidRPr="00812515">
        <w:t>making regarding ASIC</w:t>
      </w:r>
      <w:r w:rsidR="00EF40B0" w:rsidRPr="00812515">
        <w:t>’</w:t>
      </w:r>
      <w:r w:rsidRPr="00812515">
        <w:t>s activity and the level of resourcing committed to existing projects and mitigate against any cultural disinclination to deprioritise if new and more important issues emerge.</w:t>
      </w:r>
    </w:p>
    <w:p w14:paraId="7BE0514E" w14:textId="1281DAB2" w:rsidR="004C4B0B" w:rsidRPr="00832363" w:rsidRDefault="004C4B0B" w:rsidP="00832363">
      <w:pPr>
        <w:pStyle w:val="Bullet"/>
        <w:numPr>
          <w:ilvl w:val="0"/>
          <w:numId w:val="10"/>
        </w:numPr>
        <w:tabs>
          <w:tab w:val="num" w:pos="803"/>
        </w:tabs>
        <w:spacing w:before="120"/>
        <w:ind w:left="851" w:hanging="284"/>
        <w:rPr>
          <w:bCs/>
        </w:rPr>
      </w:pPr>
      <w:r w:rsidRPr="00832363">
        <w:rPr>
          <w:bCs/>
        </w:rPr>
        <w:t>Engage stakeholders appropriately</w:t>
      </w:r>
      <w:r w:rsidR="00097163">
        <w:rPr>
          <w:bCs/>
        </w:rPr>
        <w:t>,</w:t>
      </w:r>
      <w:r w:rsidRPr="00832363">
        <w:rPr>
          <w:bCs/>
        </w:rPr>
        <w:t xml:space="preserve"> including when setting strategic priorities. This may form part of ASIC</w:t>
      </w:r>
      <w:r w:rsidR="00EF40B0" w:rsidRPr="00832363">
        <w:rPr>
          <w:bCs/>
        </w:rPr>
        <w:t>’</w:t>
      </w:r>
      <w:r w:rsidRPr="00832363">
        <w:rPr>
          <w:bCs/>
        </w:rPr>
        <w:t>s Regulatory Efficiency Unit efforts to enhance stakeholder engagement more generally. More commentary on ASIC</w:t>
      </w:r>
      <w:r w:rsidR="00EF40B0" w:rsidRPr="00832363">
        <w:rPr>
          <w:bCs/>
        </w:rPr>
        <w:t>’</w:t>
      </w:r>
      <w:r w:rsidRPr="00832363">
        <w:rPr>
          <w:bCs/>
        </w:rPr>
        <w:t>s approach to stakeholder engagement is contained in following chapters</w:t>
      </w:r>
      <w:r w:rsidR="001A1CBE" w:rsidRPr="00832363">
        <w:rPr>
          <w:bCs/>
        </w:rPr>
        <w:t xml:space="preserve">. </w:t>
      </w:r>
    </w:p>
    <w:p w14:paraId="679C1119" w14:textId="422734B7" w:rsidR="004C4B0B" w:rsidRPr="00832363" w:rsidRDefault="004C4B0B" w:rsidP="00832363">
      <w:pPr>
        <w:pStyle w:val="Bullet"/>
        <w:numPr>
          <w:ilvl w:val="0"/>
          <w:numId w:val="10"/>
        </w:numPr>
        <w:tabs>
          <w:tab w:val="num" w:pos="803"/>
        </w:tabs>
        <w:spacing w:before="120"/>
        <w:ind w:left="851" w:hanging="284"/>
        <w:rPr>
          <w:bCs/>
        </w:rPr>
      </w:pPr>
      <w:r w:rsidRPr="00832363">
        <w:rPr>
          <w:bCs/>
        </w:rPr>
        <w:t>Communicate its short</w:t>
      </w:r>
      <w:r w:rsidR="00EF40B0" w:rsidRPr="00832363">
        <w:rPr>
          <w:bCs/>
        </w:rPr>
        <w:noBreakHyphen/>
      </w:r>
      <w:r w:rsidRPr="00832363">
        <w:rPr>
          <w:bCs/>
        </w:rPr>
        <w:t>term concrete work and initiatives, clearly outline timeframes where possible and seek stakeholder input on the operational aspects of implementing new obligations and guidance</w:t>
      </w:r>
      <w:r w:rsidR="00C606AD" w:rsidRPr="00832363">
        <w:rPr>
          <w:bCs/>
        </w:rPr>
        <w:t xml:space="preserve">. </w:t>
      </w:r>
    </w:p>
    <w:p w14:paraId="6948DE58" w14:textId="77777777" w:rsidR="004C4B0B" w:rsidRDefault="004C4B0B" w:rsidP="00975036">
      <w:pPr>
        <w:pStyle w:val="numberedtext"/>
        <w:numPr>
          <w:ilvl w:val="0"/>
          <w:numId w:val="19"/>
        </w:numPr>
        <w:ind w:left="573" w:hanging="573"/>
        <w:rPr>
          <w:rFonts w:cstheme="minorHAnsi"/>
        </w:rPr>
      </w:pPr>
      <w:r w:rsidRPr="00E32024">
        <w:rPr>
          <w:rFonts w:cstheme="minorHAnsi"/>
        </w:rPr>
        <w:t xml:space="preserve">The importance of transparency and accountability are well acknowledged by ASIC. The FRAA suggests that ASIC could enhance the effectiveness of its existing mechanisms by assessing regulatory outcomes against the stated objectives of the planning process. These include clearly expressing the outcomes it seeks to achieve in its Corporate Plan and measuring and </w:t>
      </w:r>
      <w:r w:rsidRPr="00A86C9E">
        <w:rPr>
          <w:rFonts w:cstheme="minorHAnsi"/>
        </w:rPr>
        <w:t xml:space="preserve">communicating progress on its priorities and other activities in its Annual Report. </w:t>
      </w:r>
    </w:p>
    <w:p w14:paraId="1EBFB577" w14:textId="77777777" w:rsidR="00813BC6" w:rsidRDefault="00754B3B" w:rsidP="00E243D2">
      <w:pPr>
        <w:pStyle w:val="numberedtext"/>
        <w:numPr>
          <w:ilvl w:val="0"/>
          <w:numId w:val="19"/>
        </w:numPr>
        <w:ind w:left="573" w:hanging="573"/>
        <w:rPr>
          <w:rFonts w:cstheme="minorHAnsi"/>
        </w:rPr>
      </w:pPr>
      <w:r w:rsidRPr="00E243D2">
        <w:rPr>
          <w:rFonts w:cstheme="minorHAnsi"/>
        </w:rPr>
        <w:t>Currently, ASIC</w:t>
      </w:r>
      <w:r w:rsidR="00EF40B0">
        <w:rPr>
          <w:rFonts w:cstheme="minorHAnsi"/>
        </w:rPr>
        <w:t>’</w:t>
      </w:r>
      <w:r w:rsidRPr="00E243D2">
        <w:rPr>
          <w:rFonts w:cstheme="minorHAnsi"/>
        </w:rPr>
        <w:t>s performance measurement framework does not clearly link its Corporate Plan and Annual Report or communicate progress on activities or priorities. ASIC would have greater clarity regarding its effectiveness by better reporting the outcomes it seeks to achieve and by performing ex</w:t>
      </w:r>
      <w:r w:rsidR="00EF40B0">
        <w:rPr>
          <w:rFonts w:cstheme="minorHAnsi"/>
        </w:rPr>
        <w:noBreakHyphen/>
      </w:r>
      <w:r w:rsidRPr="00E243D2">
        <w:rPr>
          <w:rFonts w:cstheme="minorHAnsi"/>
        </w:rPr>
        <w:t>post reviews to identify future improvements. More definitive outcomes and supporting data will also improve ASIC</w:t>
      </w:r>
      <w:r w:rsidR="00EF40B0">
        <w:rPr>
          <w:rFonts w:cstheme="minorHAnsi"/>
        </w:rPr>
        <w:t>’</w:t>
      </w:r>
      <w:r w:rsidRPr="00E243D2">
        <w:rPr>
          <w:rFonts w:cstheme="minorHAnsi"/>
        </w:rPr>
        <w:t>s ability to review its decisions.</w:t>
      </w:r>
    </w:p>
    <w:p w14:paraId="64B063D6" w14:textId="77777777" w:rsidR="00526D0C" w:rsidRDefault="00526D0C" w:rsidP="00526D0C">
      <w:pPr>
        <w:pStyle w:val="numberedtext"/>
        <w:rPr>
          <w:rFonts w:cstheme="minorHAnsi"/>
        </w:rPr>
      </w:pPr>
    </w:p>
    <w:p w14:paraId="4C06F31D" w14:textId="5CAC9A82" w:rsidR="00526D0C" w:rsidRPr="00E243D2" w:rsidRDefault="00526D0C" w:rsidP="00526D0C">
      <w:pPr>
        <w:pStyle w:val="numberedtext"/>
        <w:rPr>
          <w:rFonts w:cstheme="minorHAnsi"/>
        </w:rPr>
        <w:sectPr w:rsidR="00526D0C" w:rsidRPr="00E243D2" w:rsidSect="00526D0C">
          <w:type w:val="oddPage"/>
          <w:pgSz w:w="11906" w:h="16838" w:code="9"/>
          <w:pgMar w:top="1418" w:right="1418" w:bottom="1418" w:left="1418" w:header="709" w:footer="709" w:gutter="0"/>
          <w:cols w:space="708"/>
          <w:docGrid w:linePitch="360"/>
        </w:sectPr>
      </w:pPr>
    </w:p>
    <w:p w14:paraId="33866D6D" w14:textId="77777777" w:rsidR="00F073B7" w:rsidRPr="00A86C9E" w:rsidRDefault="00840145" w:rsidP="00A86C9E">
      <w:pPr>
        <w:pStyle w:val="Heading1"/>
      </w:pPr>
      <w:bookmarkStart w:id="91" w:name="_Toc110241826"/>
      <w:bookmarkStart w:id="92" w:name="_Ref110262834"/>
      <w:r w:rsidRPr="00D37AF6">
        <w:lastRenderedPageBreak/>
        <w:t>Chapter 4: Surveillance</w:t>
      </w:r>
      <w:bookmarkEnd w:id="91"/>
      <w:bookmarkEnd w:id="92"/>
    </w:p>
    <w:p w14:paraId="409CF898" w14:textId="46E2475D" w:rsidR="00A86C9E" w:rsidRPr="00A86C9E" w:rsidRDefault="00A86C9E" w:rsidP="00A86C9E">
      <w:pPr>
        <w:pStyle w:val="Heading2"/>
      </w:pPr>
      <w:bookmarkStart w:id="93" w:name="_Toc110241827"/>
      <w:r w:rsidRPr="00A86C9E">
        <w:rPr>
          <w:rFonts w:eastAsiaTheme="minorEastAsia"/>
        </w:rPr>
        <w:t>Introduction</w:t>
      </w:r>
      <w:bookmarkEnd w:id="93"/>
      <w:r w:rsidRPr="00A86C9E">
        <w:rPr>
          <w:rFonts w:eastAsiaTheme="minorEastAsia"/>
        </w:rPr>
        <w:t xml:space="preserve"> </w:t>
      </w:r>
    </w:p>
    <w:p w14:paraId="60F9C20C" w14:textId="765999E4" w:rsidR="00A86C9E" w:rsidRPr="002F75FD" w:rsidRDefault="00A86C9E" w:rsidP="00975036">
      <w:pPr>
        <w:pStyle w:val="numberedtext"/>
        <w:numPr>
          <w:ilvl w:val="0"/>
          <w:numId w:val="23"/>
        </w:numPr>
        <w:rPr>
          <w:rFonts w:cstheme="minorHAnsi"/>
        </w:rPr>
      </w:pPr>
      <w:r w:rsidRPr="002F75FD">
        <w:rPr>
          <w:rFonts w:cstheme="minorHAnsi"/>
        </w:rPr>
        <w:t>This chapter provides a description of ASIC</w:t>
      </w:r>
      <w:r w:rsidR="00EF40B0">
        <w:rPr>
          <w:rFonts w:cstheme="minorHAnsi"/>
        </w:rPr>
        <w:t>’</w:t>
      </w:r>
      <w:r w:rsidRPr="002F75FD">
        <w:rPr>
          <w:rFonts w:cstheme="minorHAnsi"/>
        </w:rPr>
        <w:t>s surveillance function, considers feedback from stakeholders and ASIC staff</w:t>
      </w:r>
      <w:r w:rsidR="00DD0576">
        <w:rPr>
          <w:rFonts w:cstheme="minorHAnsi"/>
        </w:rPr>
        <w:t xml:space="preserve"> members</w:t>
      </w:r>
      <w:r w:rsidRPr="002F75FD">
        <w:rPr>
          <w:rFonts w:cstheme="minorHAnsi"/>
        </w:rPr>
        <w:t>, and outlines actions ASIC has underway to improve its surveillances. This chapter concludes with an overall assessment of ASIC</w:t>
      </w:r>
      <w:r w:rsidR="00EF40B0">
        <w:rPr>
          <w:rFonts w:cstheme="minorHAnsi"/>
        </w:rPr>
        <w:t>’</w:t>
      </w:r>
      <w:r w:rsidRPr="002F75FD">
        <w:rPr>
          <w:rFonts w:cstheme="minorHAnsi"/>
        </w:rPr>
        <w:t>s effectiveness and capability in surveillance.</w:t>
      </w:r>
    </w:p>
    <w:p w14:paraId="6896369A" w14:textId="21DB3ABE" w:rsidR="00A86C9E" w:rsidRPr="00A86C9E" w:rsidRDefault="00A86C9E" w:rsidP="00975036">
      <w:pPr>
        <w:pStyle w:val="numberedtext"/>
        <w:numPr>
          <w:ilvl w:val="0"/>
          <w:numId w:val="23"/>
        </w:numPr>
      </w:pPr>
      <w:r w:rsidRPr="2F6E4710">
        <w:t>An effective and capable surveillance function can assist ASIC to change behaviour, address misconduct, promote better practice within industry, and drive good outcomes for consumers and investors. A well</w:t>
      </w:r>
      <w:r w:rsidR="00EF40B0">
        <w:noBreakHyphen/>
      </w:r>
      <w:r w:rsidRPr="2F6E4710">
        <w:t>performing surveillance function is therefore a necessary element in helping ASIC realise its vision of a fair, strong, and efficient financial system for all Australians</w:t>
      </w:r>
      <w:r w:rsidRPr="00A86C9E">
        <w:t>.</w:t>
      </w:r>
    </w:p>
    <w:p w14:paraId="65B98F87" w14:textId="77777777" w:rsidR="00A86C9E" w:rsidRPr="001D2DA1" w:rsidRDefault="00A86C9E" w:rsidP="00A86C9E">
      <w:pPr>
        <w:pStyle w:val="Heading2"/>
      </w:pPr>
      <w:bookmarkStart w:id="94" w:name="_Toc110241828"/>
      <w:r w:rsidRPr="00A86C9E">
        <w:t>Surveillance</w:t>
      </w:r>
      <w:r w:rsidRPr="001D2DA1">
        <w:t xml:space="preserve"> at ASIC</w:t>
      </w:r>
      <w:bookmarkEnd w:id="94"/>
    </w:p>
    <w:p w14:paraId="1AC4293A" w14:textId="361456E4" w:rsidR="00A86C9E" w:rsidRPr="002F75FD" w:rsidRDefault="00A86C9E" w:rsidP="00975036">
      <w:pPr>
        <w:pStyle w:val="numberedtext"/>
        <w:numPr>
          <w:ilvl w:val="0"/>
          <w:numId w:val="23"/>
        </w:numPr>
        <w:rPr>
          <w:rFonts w:cstheme="minorHAnsi"/>
        </w:rPr>
      </w:pPr>
      <w:r w:rsidRPr="002F75FD">
        <w:rPr>
          <w:rFonts w:cstheme="minorHAnsi"/>
        </w:rPr>
        <w:t>ASIC</w:t>
      </w:r>
      <w:r w:rsidR="00EF40B0">
        <w:rPr>
          <w:rFonts w:cstheme="minorHAnsi"/>
        </w:rPr>
        <w:t>’</w:t>
      </w:r>
      <w:r w:rsidRPr="002F75FD">
        <w:rPr>
          <w:rFonts w:cstheme="minorHAnsi"/>
        </w:rPr>
        <w:t>s surveillance function covers a broad range of activities where ASIC reviews an entity, individual, product, practice, set of transactions or industry sector</w:t>
      </w:r>
      <w:r w:rsidR="00B5510F">
        <w:rPr>
          <w:rFonts w:cstheme="minorHAnsi"/>
        </w:rPr>
        <w:t xml:space="preserve">. The </w:t>
      </w:r>
      <w:r w:rsidR="00F97E29">
        <w:rPr>
          <w:rFonts w:cstheme="minorHAnsi"/>
        </w:rPr>
        <w:t>objective of these reviews is</w:t>
      </w:r>
      <w:r w:rsidRPr="002F75FD">
        <w:rPr>
          <w:rFonts w:cstheme="minorHAnsi"/>
        </w:rPr>
        <w:t xml:space="preserve"> to identify misconduct or harm, understand or influence behaviours, drive compliance or promote good outcomes for consumers or investors. Complementary tools, such as enforcement action, are generally reserved for the most serious and harmful misconduct.</w:t>
      </w:r>
    </w:p>
    <w:p w14:paraId="726E6138" w14:textId="77777777" w:rsidR="00A86C9E" w:rsidRPr="002F75FD" w:rsidRDefault="00A86C9E" w:rsidP="00975036">
      <w:pPr>
        <w:pStyle w:val="numberedtext"/>
        <w:numPr>
          <w:ilvl w:val="0"/>
          <w:numId w:val="23"/>
        </w:numPr>
        <w:rPr>
          <w:rFonts w:cstheme="minorHAnsi"/>
        </w:rPr>
      </w:pPr>
      <w:r w:rsidRPr="002F75FD">
        <w:rPr>
          <w:rFonts w:cstheme="minorHAnsi"/>
        </w:rPr>
        <w:t>Broadly, ASIC categorises its surveillance activities into 3 types:</w:t>
      </w:r>
    </w:p>
    <w:p w14:paraId="0F94A8AB" w14:textId="1876953D" w:rsidR="00A86C9E" w:rsidRPr="00923A66" w:rsidRDefault="00A86C9E" w:rsidP="00923A66">
      <w:pPr>
        <w:pStyle w:val="Bullet"/>
      </w:pPr>
      <w:r w:rsidRPr="00923A66">
        <w:rPr>
          <w:b/>
          <w:bCs/>
        </w:rPr>
        <w:t>Thematic surveillances</w:t>
      </w:r>
      <w:r w:rsidRPr="00923A66">
        <w:t xml:space="preserve"> assess current or emerging risks, market trends or compliance with the law relating to an issue or product across or within an industry sector or subsector. For example, a review of large, listed companies</w:t>
      </w:r>
      <w:r w:rsidR="00EF40B0" w:rsidRPr="00923A66">
        <w:t>’</w:t>
      </w:r>
      <w:r w:rsidRPr="00923A66">
        <w:t xml:space="preserve"> approaches to the governance and disclosure of climate change related risks and opportunities.</w:t>
      </w:r>
    </w:p>
    <w:p w14:paraId="55175D65" w14:textId="7D3E2D24" w:rsidR="00A86C9E" w:rsidRDefault="00A86C9E" w:rsidP="00923A66">
      <w:pPr>
        <w:pStyle w:val="Bullet"/>
      </w:pPr>
      <w:r>
        <w:rPr>
          <w:b/>
        </w:rPr>
        <w:t>Surveillances of entities or individuals</w:t>
      </w:r>
      <w:r>
        <w:t xml:space="preserve"> assess an individual</w:t>
      </w:r>
      <w:r w:rsidR="00EF40B0">
        <w:t>’</w:t>
      </w:r>
      <w:r>
        <w:t>s or an entity</w:t>
      </w:r>
      <w:r w:rsidR="00EF40B0">
        <w:t>’</w:t>
      </w:r>
      <w:r>
        <w:t xml:space="preserve">s compliance with the law. These are typically prompted by a report of misconduct, breach report or industry insight. Some of these surveillance activities identify misconduct that may then be referred to the enforcement team for further investigation and possible </w:t>
      </w:r>
      <w:r w:rsidRPr="00923A66">
        <w:t>enforcement</w:t>
      </w:r>
      <w:r>
        <w:t xml:space="preserve"> action.</w:t>
      </w:r>
    </w:p>
    <w:p w14:paraId="7C66CB26" w14:textId="50CFF042" w:rsidR="00A86C9E" w:rsidRDefault="00A86C9E" w:rsidP="00923A66">
      <w:pPr>
        <w:pStyle w:val="Bullet"/>
      </w:pPr>
      <w:r>
        <w:rPr>
          <w:b/>
        </w:rPr>
        <w:t>Programmatic surveillances</w:t>
      </w:r>
      <w:r>
        <w:t xml:space="preserve"> are undertaken in a continuous manner, such as </w:t>
      </w:r>
      <w:r w:rsidRPr="00923A66">
        <w:t>market</w:t>
      </w:r>
      <w:r>
        <w:t xml:space="preserve"> trading surveillance, reviews of prospectuses or advertising and the audit inspection program.</w:t>
      </w:r>
    </w:p>
    <w:p w14:paraId="0E8C5A62" w14:textId="799E1B0B" w:rsidR="00A86C9E" w:rsidRPr="002F75FD" w:rsidRDefault="00A86C9E" w:rsidP="00975036">
      <w:pPr>
        <w:pStyle w:val="numberedtext"/>
        <w:numPr>
          <w:ilvl w:val="0"/>
          <w:numId w:val="23"/>
        </w:numPr>
        <w:rPr>
          <w:rFonts w:cstheme="minorHAnsi"/>
        </w:rPr>
      </w:pPr>
      <w:r w:rsidRPr="002F75FD">
        <w:rPr>
          <w:rFonts w:cstheme="minorHAnsi"/>
        </w:rPr>
        <w:t>In 2021</w:t>
      </w:r>
      <w:r w:rsidR="00857CF7">
        <w:t>–</w:t>
      </w:r>
      <w:r w:rsidRPr="002F75FD">
        <w:rPr>
          <w:rFonts w:cstheme="minorHAnsi"/>
        </w:rPr>
        <w:t xml:space="preserve">22 surveillance </w:t>
      </w:r>
      <w:r w:rsidR="00171BDA">
        <w:rPr>
          <w:rFonts w:cstheme="minorHAnsi"/>
        </w:rPr>
        <w:t>teams</w:t>
      </w:r>
      <w:r w:rsidRPr="002F75FD">
        <w:rPr>
          <w:rFonts w:cstheme="minorHAnsi"/>
        </w:rPr>
        <w:t xml:space="preserve"> represented approximately 2</w:t>
      </w:r>
      <w:r w:rsidR="009762A9">
        <w:rPr>
          <w:rFonts w:cstheme="minorHAnsi"/>
        </w:rPr>
        <w:t>1</w:t>
      </w:r>
      <w:r w:rsidRPr="002F75FD">
        <w:rPr>
          <w:rFonts w:cstheme="minorHAnsi"/>
        </w:rPr>
        <w:t>% of ASIC</w:t>
      </w:r>
      <w:r w:rsidR="00EF40B0">
        <w:rPr>
          <w:rFonts w:cstheme="minorHAnsi"/>
        </w:rPr>
        <w:t>’</w:t>
      </w:r>
      <w:r w:rsidRPr="002F75FD">
        <w:rPr>
          <w:rFonts w:cstheme="minorHAnsi"/>
        </w:rPr>
        <w:t xml:space="preserve">s total funding </w:t>
      </w:r>
      <w:bookmarkStart w:id="95" w:name="_Hlk105495798"/>
      <w:r w:rsidRPr="002F75FD">
        <w:rPr>
          <w:rFonts w:cstheme="minorHAnsi"/>
        </w:rPr>
        <w:t>($</w:t>
      </w:r>
      <w:bookmarkEnd w:id="95"/>
      <w:r w:rsidRPr="002F75FD">
        <w:rPr>
          <w:rFonts w:cstheme="minorHAnsi"/>
        </w:rPr>
        <w:t>87.1</w:t>
      </w:r>
      <w:r w:rsidR="00857CF7">
        <w:rPr>
          <w:rFonts w:cstheme="minorHAnsi"/>
        </w:rPr>
        <w:t> </w:t>
      </w:r>
      <w:r w:rsidRPr="002F75FD">
        <w:rPr>
          <w:rFonts w:cstheme="minorHAnsi"/>
        </w:rPr>
        <w:t>m</w:t>
      </w:r>
      <w:r w:rsidR="00857CF7">
        <w:rPr>
          <w:rFonts w:cstheme="minorHAnsi"/>
        </w:rPr>
        <w:t>illion</w:t>
      </w:r>
      <w:r w:rsidRPr="002F75FD">
        <w:rPr>
          <w:rFonts w:cstheme="minorHAnsi"/>
        </w:rPr>
        <w:t xml:space="preserve"> of $422 million) and approximately 2</w:t>
      </w:r>
      <w:r w:rsidR="009762A9">
        <w:rPr>
          <w:rFonts w:cstheme="minorHAnsi"/>
        </w:rPr>
        <w:t>5</w:t>
      </w:r>
      <w:r w:rsidRPr="002F75FD">
        <w:rPr>
          <w:rFonts w:cstheme="minorHAnsi"/>
        </w:rPr>
        <w:t>% of ASIC staff.</w:t>
      </w:r>
      <w:r w:rsidRPr="002F75FD">
        <w:rPr>
          <w:vertAlign w:val="superscript"/>
        </w:rPr>
        <w:footnoteReference w:id="89"/>
      </w:r>
    </w:p>
    <w:p w14:paraId="39741288" w14:textId="77777777" w:rsidR="00A86C9E" w:rsidRPr="00886B59" w:rsidRDefault="00A86C9E" w:rsidP="00975036">
      <w:pPr>
        <w:pStyle w:val="numberedtext"/>
        <w:numPr>
          <w:ilvl w:val="0"/>
          <w:numId w:val="23"/>
        </w:numPr>
        <w:rPr>
          <w:rFonts w:cstheme="minorHAnsi"/>
        </w:rPr>
      </w:pPr>
      <w:r w:rsidRPr="00886B59">
        <w:rPr>
          <w:rFonts w:cstheme="minorHAnsi"/>
        </w:rPr>
        <w:t xml:space="preserve">Surveillance activities are undertaken by a range of teams across ASIC: </w:t>
      </w:r>
    </w:p>
    <w:p w14:paraId="34F7B656" w14:textId="1C2017D4" w:rsidR="00A86C9E" w:rsidRDefault="00A86C9E" w:rsidP="00923A66">
      <w:pPr>
        <w:pStyle w:val="Bullet"/>
      </w:pPr>
      <w:r w:rsidRPr="0029693D">
        <w:rPr>
          <w:b/>
        </w:rPr>
        <w:t>Financial Services and Wealth Group teams</w:t>
      </w:r>
      <w:r>
        <w:t xml:space="preserve"> </w:t>
      </w:r>
      <w:r w:rsidRPr="001F1D3C">
        <w:t>(</w:t>
      </w:r>
      <w:r>
        <w:t>25</w:t>
      </w:r>
      <w:r w:rsidR="002B5B19">
        <w:t>9</w:t>
      </w:r>
      <w:r>
        <w:t xml:space="preserve"> </w:t>
      </w:r>
      <w:r w:rsidR="009A00D1">
        <w:t>full</w:t>
      </w:r>
      <w:r w:rsidR="00EF40B0">
        <w:noBreakHyphen/>
      </w:r>
      <w:r w:rsidR="009A00D1">
        <w:t>time equ</w:t>
      </w:r>
      <w:r w:rsidR="004865DF">
        <w:t>iv</w:t>
      </w:r>
      <w:r w:rsidR="009A00D1">
        <w:t>alent</w:t>
      </w:r>
      <w:r>
        <w:t xml:space="preserve"> </w:t>
      </w:r>
      <w:r w:rsidR="009A00D1">
        <w:t>(</w:t>
      </w:r>
      <w:r>
        <w:t>FTE</w:t>
      </w:r>
      <w:r w:rsidR="009A00D1">
        <w:t>)</w:t>
      </w:r>
      <w:r>
        <w:t xml:space="preserve"> in </w:t>
      </w:r>
      <w:r w:rsidRPr="001F1D3C">
        <w:t>2021</w:t>
      </w:r>
      <w:r w:rsidR="00857CF7">
        <w:t>–</w:t>
      </w:r>
      <w:r w:rsidRPr="001F1D3C">
        <w:t>22</w:t>
      </w:r>
      <w:r>
        <w:t>) undertake activities relati</w:t>
      </w:r>
      <w:r w:rsidR="00973EE9">
        <w:t>ng</w:t>
      </w:r>
      <w:r>
        <w:t xml:space="preserve"> to </w:t>
      </w:r>
      <w:r w:rsidRPr="006C6AE5">
        <w:t>credit</w:t>
      </w:r>
      <w:r>
        <w:t xml:space="preserve">, deposit taking and payments, financial advice, custodians, </w:t>
      </w:r>
      <w:r w:rsidRPr="00F26B1F">
        <w:t xml:space="preserve">managed investment schemes, operators of platforms, managed discretionary </w:t>
      </w:r>
      <w:r w:rsidRPr="00F26B1F">
        <w:lastRenderedPageBreak/>
        <w:t>account providers, marketplace lenders, crowd</w:t>
      </w:r>
      <w:r w:rsidR="00EF40B0">
        <w:noBreakHyphen/>
      </w:r>
      <w:r w:rsidRPr="00F26B1F">
        <w:t>sourced funding intermediaries, wholes</w:t>
      </w:r>
      <w:r>
        <w:t>ale trustees, insurance, and superannuation.</w:t>
      </w:r>
      <w:r>
        <w:rPr>
          <w:rStyle w:val="FootnoteReference"/>
        </w:rPr>
        <w:footnoteReference w:id="90"/>
      </w:r>
    </w:p>
    <w:p w14:paraId="1E1ACD4C" w14:textId="6CD55497" w:rsidR="00A86C9E" w:rsidRDefault="00A86C9E" w:rsidP="00923A66">
      <w:pPr>
        <w:pStyle w:val="Bullet"/>
      </w:pPr>
      <w:r w:rsidRPr="0029693D">
        <w:rPr>
          <w:b/>
        </w:rPr>
        <w:t>Markets Group teams</w:t>
      </w:r>
      <w:r>
        <w:t xml:space="preserve"> (2</w:t>
      </w:r>
      <w:r w:rsidR="002202E3">
        <w:t>24</w:t>
      </w:r>
      <w:r>
        <w:t xml:space="preserve"> FTE in </w:t>
      </w:r>
      <w:r w:rsidRPr="001F1D3C">
        <w:t>2021</w:t>
      </w:r>
      <w:r w:rsidR="00857CF7">
        <w:t>–</w:t>
      </w:r>
      <w:r w:rsidRPr="001F1D3C">
        <w:t>22</w:t>
      </w:r>
      <w:r>
        <w:t xml:space="preserve">) </w:t>
      </w:r>
      <w:r w:rsidRPr="00923A66">
        <w:t>undertake</w:t>
      </w:r>
      <w:r>
        <w:t xml:space="preserve"> activities relati</w:t>
      </w:r>
      <w:r w:rsidR="00973EE9">
        <w:t>ng</w:t>
      </w:r>
      <w:r>
        <w:t xml:space="preserve"> to market participants, liquidators, financial reporting, auditors, investment banks, corporate governance, and financial market infrastructure</w:t>
      </w:r>
      <w:r w:rsidR="001A1CBE">
        <w:t xml:space="preserve">. </w:t>
      </w:r>
    </w:p>
    <w:p w14:paraId="05429E1A" w14:textId="0BE6FDEE" w:rsidR="00A86C9E" w:rsidRDefault="00A86C9E" w:rsidP="00923A66">
      <w:pPr>
        <w:pStyle w:val="Bullet"/>
      </w:pPr>
      <w:r w:rsidRPr="0029693D">
        <w:rPr>
          <w:b/>
        </w:rPr>
        <w:t xml:space="preserve">Small Business Engagement </w:t>
      </w:r>
      <w:r w:rsidR="0005098E">
        <w:rPr>
          <w:b/>
        </w:rPr>
        <w:t>and</w:t>
      </w:r>
      <w:r w:rsidRPr="0029693D">
        <w:rPr>
          <w:b/>
        </w:rPr>
        <w:t xml:space="preserve"> Compliance team</w:t>
      </w:r>
      <w:r>
        <w:t xml:space="preserve"> (35 FTE in </w:t>
      </w:r>
      <w:r w:rsidRPr="001F1D3C">
        <w:t>2021</w:t>
      </w:r>
      <w:r w:rsidR="00857CF7">
        <w:t>–</w:t>
      </w:r>
      <w:r w:rsidRPr="001F1D3C">
        <w:t>22</w:t>
      </w:r>
      <w:r>
        <w:t>) undertakes activities relati</w:t>
      </w:r>
      <w:r w:rsidR="00973EE9">
        <w:t>ng</w:t>
      </w:r>
      <w:r>
        <w:t xml:space="preserve"> to illegal phoenix activity and small business compliance with Corporations Act obligations. </w:t>
      </w:r>
    </w:p>
    <w:p w14:paraId="67B7F57A" w14:textId="77BE1B9D" w:rsidR="00A86C9E" w:rsidRPr="00886B59" w:rsidRDefault="00A86C9E" w:rsidP="00975036">
      <w:pPr>
        <w:pStyle w:val="numberedtext"/>
        <w:numPr>
          <w:ilvl w:val="0"/>
          <w:numId w:val="23"/>
        </w:numPr>
        <w:rPr>
          <w:rFonts w:cstheme="minorHAnsi"/>
        </w:rPr>
      </w:pPr>
      <w:r w:rsidRPr="00886B59">
        <w:rPr>
          <w:rFonts w:cstheme="minorHAnsi"/>
        </w:rPr>
        <w:t>For ASIC staff within those teams, surveillance activities represent only a portion of their workload. Staff are responsible for additional activities including industry engagement, education, and policy advice. The distribution of activities within each team will vary depending on the size and nature of each team</w:t>
      </w:r>
      <w:r w:rsidR="00EF40B0">
        <w:rPr>
          <w:rFonts w:cstheme="minorHAnsi"/>
        </w:rPr>
        <w:t>’</w:t>
      </w:r>
      <w:r w:rsidRPr="00886B59">
        <w:rPr>
          <w:rFonts w:cstheme="minorHAnsi"/>
        </w:rPr>
        <w:t>s regulated population.</w:t>
      </w:r>
    </w:p>
    <w:p w14:paraId="175145B4" w14:textId="65FEDAD6" w:rsidR="00A86C9E" w:rsidRPr="00A86C9E" w:rsidRDefault="00A86C9E" w:rsidP="00A86C9E">
      <w:pPr>
        <w:pStyle w:val="Heading2"/>
      </w:pPr>
      <w:bookmarkStart w:id="96" w:name="_Toc110241829"/>
      <w:r w:rsidRPr="00A86C9E">
        <w:t>Effectiveness and capability of ASIC</w:t>
      </w:r>
      <w:r w:rsidR="00EF40B0">
        <w:t>’</w:t>
      </w:r>
      <w:r w:rsidRPr="00A86C9E">
        <w:t>s surveillance function</w:t>
      </w:r>
      <w:bookmarkEnd w:id="96"/>
    </w:p>
    <w:p w14:paraId="23EBD1F3" w14:textId="77777777" w:rsidR="00A86C9E" w:rsidRPr="00D024EA" w:rsidRDefault="00A86C9E" w:rsidP="00D024EA">
      <w:pPr>
        <w:pStyle w:val="Heading3"/>
      </w:pPr>
      <w:bookmarkStart w:id="97" w:name="_Toc108786446"/>
      <w:r w:rsidRPr="00D024EA">
        <w:t>Efficiency</w:t>
      </w:r>
      <w:bookmarkEnd w:id="97"/>
    </w:p>
    <w:p w14:paraId="28E21CAA" w14:textId="37F49D4F" w:rsidR="00A86C9E" w:rsidRPr="00886B59" w:rsidRDefault="00A86C9E" w:rsidP="00975036">
      <w:pPr>
        <w:pStyle w:val="numberedtext"/>
        <w:numPr>
          <w:ilvl w:val="0"/>
          <w:numId w:val="23"/>
        </w:numPr>
        <w:rPr>
          <w:rFonts w:cstheme="minorHAnsi"/>
        </w:rPr>
      </w:pPr>
      <w:r w:rsidRPr="00886B59">
        <w:rPr>
          <w:rFonts w:cstheme="minorHAnsi"/>
        </w:rPr>
        <w:t xml:space="preserve">An assessment of surveillance efficiency must consider the </w:t>
      </w:r>
      <w:r w:rsidR="00922D70">
        <w:rPr>
          <w:rFonts w:cstheme="minorHAnsi"/>
        </w:rPr>
        <w:t>desired</w:t>
      </w:r>
      <w:r w:rsidRPr="00886B59">
        <w:rPr>
          <w:rFonts w:cstheme="minorHAnsi"/>
        </w:rPr>
        <w:t xml:space="preserve"> outcomes</w:t>
      </w:r>
      <w:r w:rsidR="00883C57">
        <w:rPr>
          <w:rFonts w:cstheme="minorHAnsi"/>
        </w:rPr>
        <w:t>.</w:t>
      </w:r>
      <w:r w:rsidRPr="00886B59">
        <w:rPr>
          <w:rFonts w:cstheme="minorHAnsi"/>
        </w:rPr>
        <w:t xml:space="preserve"> </w:t>
      </w:r>
      <w:r w:rsidR="0026762C">
        <w:rPr>
          <w:rFonts w:cstheme="minorHAnsi"/>
        </w:rPr>
        <w:t xml:space="preserve">This </w:t>
      </w:r>
      <w:r w:rsidRPr="00886B59">
        <w:rPr>
          <w:rFonts w:cstheme="minorHAnsi"/>
        </w:rPr>
        <w:t>includ</w:t>
      </w:r>
      <w:r w:rsidR="0026762C">
        <w:rPr>
          <w:rFonts w:cstheme="minorHAnsi"/>
        </w:rPr>
        <w:t>es</w:t>
      </w:r>
      <w:r w:rsidRPr="00886B59">
        <w:rPr>
          <w:rFonts w:cstheme="minorHAnsi"/>
        </w:rPr>
        <w:t xml:space="preserve"> changing behaviours to drive good consumer and investor outcomes; taking action against misconduct to maintain trust and integrity in the financial system; and responding to new and emerging harms.</w:t>
      </w:r>
    </w:p>
    <w:p w14:paraId="057260E1" w14:textId="32FD5006" w:rsidR="00A86C9E" w:rsidRPr="00886B59" w:rsidRDefault="00A86C9E" w:rsidP="00975036">
      <w:pPr>
        <w:pStyle w:val="numberedtext"/>
        <w:numPr>
          <w:ilvl w:val="0"/>
          <w:numId w:val="23"/>
        </w:numPr>
        <w:rPr>
          <w:rFonts w:cstheme="minorHAnsi"/>
        </w:rPr>
      </w:pPr>
      <w:r w:rsidRPr="00886B59">
        <w:rPr>
          <w:rFonts w:cstheme="minorHAnsi"/>
        </w:rPr>
        <w:t>Feedback on the efficiency of ASIC</w:t>
      </w:r>
      <w:r w:rsidR="00EF40B0">
        <w:rPr>
          <w:rFonts w:cstheme="minorHAnsi"/>
        </w:rPr>
        <w:t>’</w:t>
      </w:r>
      <w:r w:rsidRPr="00886B59">
        <w:rPr>
          <w:rFonts w:cstheme="minorHAnsi"/>
        </w:rPr>
        <w:t>s surveillances was mixed. Both ASIC and industry stakeholders reported positive outcomes flowing from surveillances, while acknowledging scope for improvement in the way surveillances are conducted (for example, the manner of issuing information requests).</w:t>
      </w:r>
    </w:p>
    <w:p w14:paraId="0FFB5748" w14:textId="031C1C43" w:rsidR="00A86C9E" w:rsidRPr="00886B59" w:rsidRDefault="00A86C9E" w:rsidP="00975036">
      <w:pPr>
        <w:pStyle w:val="numberedtext"/>
        <w:numPr>
          <w:ilvl w:val="0"/>
          <w:numId w:val="23"/>
        </w:numPr>
        <w:rPr>
          <w:rFonts w:cstheme="minorHAnsi"/>
        </w:rPr>
      </w:pPr>
      <w:r w:rsidRPr="00886B59">
        <w:rPr>
          <w:rFonts w:cstheme="minorHAnsi"/>
        </w:rPr>
        <w:t>In its self</w:t>
      </w:r>
      <w:r w:rsidR="00EF40B0">
        <w:rPr>
          <w:rFonts w:cstheme="minorHAnsi"/>
        </w:rPr>
        <w:noBreakHyphen/>
      </w:r>
      <w:r w:rsidRPr="00886B59">
        <w:rPr>
          <w:rFonts w:cstheme="minorHAnsi"/>
        </w:rPr>
        <w:t xml:space="preserve">assessment, ASIC noted that it had consistently achieved significant regulatory outcomes from its surveillance activities. The following examples were highlighted by ASIC as having led to improved outcomes for consumers or investors: </w:t>
      </w:r>
    </w:p>
    <w:p w14:paraId="385019D5" w14:textId="4F22B049" w:rsidR="00A86C9E" w:rsidRPr="0055673D" w:rsidRDefault="00A86C9E" w:rsidP="00923A66">
      <w:pPr>
        <w:pStyle w:val="Bullet"/>
        <w:rPr>
          <w:rFonts w:eastAsiaTheme="minorEastAsia"/>
        </w:rPr>
      </w:pPr>
      <w:r w:rsidRPr="001307D4">
        <w:rPr>
          <w:rFonts w:eastAsiaTheme="minorEastAsia"/>
          <w:b/>
        </w:rPr>
        <w:t>January 2020 review</w:t>
      </w:r>
      <w:r w:rsidRPr="0055673D">
        <w:rPr>
          <w:rFonts w:eastAsiaTheme="minorEastAsia"/>
        </w:rPr>
        <w:t xml:space="preserve"> of insurance claims handling outcomes</w:t>
      </w:r>
      <w:r>
        <w:rPr>
          <w:rFonts w:eastAsiaTheme="minorEastAsia"/>
        </w:rPr>
        <w:t>,</w:t>
      </w:r>
      <w:r w:rsidRPr="0055673D">
        <w:rPr>
          <w:rFonts w:eastAsiaTheme="minorEastAsia"/>
        </w:rPr>
        <w:t xml:space="preserve"> for consumers affected by the 2019–20 </w:t>
      </w:r>
      <w:r w:rsidR="00EF40B0">
        <w:rPr>
          <w:rFonts w:eastAsiaTheme="minorEastAsia"/>
        </w:rPr>
        <w:t>‘</w:t>
      </w:r>
      <w:r w:rsidRPr="0055673D">
        <w:rPr>
          <w:rFonts w:eastAsiaTheme="minorEastAsia"/>
        </w:rPr>
        <w:t>Black Summer</w:t>
      </w:r>
      <w:r w:rsidR="00EF40B0">
        <w:rPr>
          <w:rFonts w:eastAsiaTheme="minorEastAsia"/>
        </w:rPr>
        <w:t>’</w:t>
      </w:r>
      <w:r w:rsidRPr="0055673D">
        <w:rPr>
          <w:rFonts w:eastAsiaTheme="minorEastAsia"/>
        </w:rPr>
        <w:t xml:space="preserve"> bushfires, </w:t>
      </w:r>
      <w:r>
        <w:rPr>
          <w:rFonts w:eastAsiaTheme="minorEastAsia"/>
        </w:rPr>
        <w:t xml:space="preserve">leading </w:t>
      </w:r>
      <w:r w:rsidRPr="00923A66">
        <w:rPr>
          <w:rFonts w:eastAsiaTheme="minorEastAsia"/>
        </w:rPr>
        <w:t>to</w:t>
      </w:r>
      <w:r>
        <w:rPr>
          <w:rFonts w:eastAsiaTheme="minorEastAsia"/>
        </w:rPr>
        <w:t xml:space="preserve"> the development of best practice recommendations and identification of </w:t>
      </w:r>
      <w:r w:rsidRPr="0055673D">
        <w:rPr>
          <w:rFonts w:eastAsiaTheme="minorEastAsia"/>
        </w:rPr>
        <w:t>opportunities for improvement in the participating insurers</w:t>
      </w:r>
      <w:r w:rsidR="00EF40B0">
        <w:rPr>
          <w:rFonts w:eastAsiaTheme="minorEastAsia"/>
        </w:rPr>
        <w:t>’</w:t>
      </w:r>
      <w:r w:rsidRPr="0055673D">
        <w:rPr>
          <w:rFonts w:eastAsiaTheme="minorEastAsia"/>
        </w:rPr>
        <w:t xml:space="preserve"> data and systems capability</w:t>
      </w:r>
      <w:r>
        <w:rPr>
          <w:rFonts w:eastAsiaTheme="minorEastAsia"/>
        </w:rPr>
        <w:t>.</w:t>
      </w:r>
    </w:p>
    <w:p w14:paraId="73FBCE74" w14:textId="5CD0BDFF" w:rsidR="00A86C9E" w:rsidRPr="0055673D" w:rsidRDefault="00A86C9E" w:rsidP="00923A66">
      <w:pPr>
        <w:pStyle w:val="Bullet"/>
        <w:rPr>
          <w:rFonts w:eastAsiaTheme="minorEastAsia"/>
        </w:rPr>
      </w:pPr>
      <w:r w:rsidRPr="001307D4">
        <w:rPr>
          <w:rFonts w:eastAsiaTheme="minorEastAsia"/>
          <w:b/>
        </w:rPr>
        <w:t>August 2021 surveillance</w:t>
      </w:r>
      <w:r w:rsidRPr="0055673D">
        <w:rPr>
          <w:rFonts w:eastAsiaTheme="minorEastAsia"/>
        </w:rPr>
        <w:t xml:space="preserve"> </w:t>
      </w:r>
      <w:r>
        <w:rPr>
          <w:rFonts w:eastAsiaTheme="minorEastAsia"/>
        </w:rPr>
        <w:t xml:space="preserve">of </w:t>
      </w:r>
      <w:r w:rsidR="00EF40B0">
        <w:rPr>
          <w:rFonts w:eastAsiaTheme="minorEastAsia"/>
        </w:rPr>
        <w:t>‘</w:t>
      </w:r>
      <w:r>
        <w:rPr>
          <w:rFonts w:eastAsiaTheme="minorEastAsia"/>
        </w:rPr>
        <w:t>pump and dump</w:t>
      </w:r>
      <w:r w:rsidR="00EF40B0">
        <w:rPr>
          <w:rFonts w:eastAsiaTheme="minorEastAsia"/>
        </w:rPr>
        <w:t>’</w:t>
      </w:r>
      <w:r>
        <w:rPr>
          <w:rFonts w:eastAsiaTheme="minorEastAsia"/>
        </w:rPr>
        <w:t xml:space="preserve"> trading, resulting in the closure of numerous </w:t>
      </w:r>
      <w:r w:rsidRPr="00072B0C">
        <w:rPr>
          <w:rFonts w:eastAsiaTheme="minorEastAsia"/>
        </w:rPr>
        <w:t>trading</w:t>
      </w:r>
      <w:r>
        <w:rPr>
          <w:rFonts w:eastAsiaTheme="minorEastAsia"/>
        </w:rPr>
        <w:t xml:space="preserve"> and social media accounts, as well as the </w:t>
      </w:r>
      <w:r w:rsidRPr="0055673D">
        <w:rPr>
          <w:rFonts w:eastAsiaTheme="minorEastAsia"/>
        </w:rPr>
        <w:t>identification of a ring of traders suspected of engaging in</w:t>
      </w:r>
      <w:r>
        <w:rPr>
          <w:rFonts w:eastAsiaTheme="minorEastAsia"/>
        </w:rPr>
        <w:t xml:space="preserve"> this</w:t>
      </w:r>
      <w:r w:rsidRPr="0055673D">
        <w:rPr>
          <w:rFonts w:eastAsiaTheme="minorEastAsia"/>
        </w:rPr>
        <w:t xml:space="preserve"> misconduct, now subject to investigation by </w:t>
      </w:r>
      <w:r>
        <w:rPr>
          <w:rFonts w:eastAsiaTheme="minorEastAsia"/>
        </w:rPr>
        <w:t>ASIC e</w:t>
      </w:r>
      <w:r w:rsidRPr="0055673D">
        <w:rPr>
          <w:rFonts w:eastAsiaTheme="minorEastAsia"/>
        </w:rPr>
        <w:t>nforcement</w:t>
      </w:r>
      <w:r>
        <w:rPr>
          <w:rFonts w:eastAsiaTheme="minorEastAsia"/>
        </w:rPr>
        <w:t>.</w:t>
      </w:r>
    </w:p>
    <w:p w14:paraId="1E2C1C52" w14:textId="654F6A39" w:rsidR="00A86C9E" w:rsidRDefault="00A86C9E" w:rsidP="00923A66">
      <w:pPr>
        <w:pStyle w:val="Bullet"/>
        <w:rPr>
          <w:rFonts w:eastAsiaTheme="minorEastAsia"/>
        </w:rPr>
      </w:pPr>
      <w:r w:rsidRPr="001307D4">
        <w:rPr>
          <w:rFonts w:eastAsiaTheme="minorEastAsia"/>
          <w:b/>
        </w:rPr>
        <w:t>June 2021 review</w:t>
      </w:r>
      <w:r w:rsidRPr="0055673D">
        <w:rPr>
          <w:rFonts w:eastAsiaTheme="minorEastAsia"/>
        </w:rPr>
        <w:t xml:space="preserve"> of </w:t>
      </w:r>
      <w:r>
        <w:rPr>
          <w:rFonts w:eastAsiaTheme="minorEastAsia"/>
        </w:rPr>
        <w:t>s</w:t>
      </w:r>
      <w:r w:rsidRPr="00885A98">
        <w:rPr>
          <w:rFonts w:eastAsiaTheme="minorEastAsia"/>
        </w:rPr>
        <w:t>elf</w:t>
      </w:r>
      <w:r w:rsidR="00EF40B0">
        <w:rPr>
          <w:rFonts w:eastAsiaTheme="minorEastAsia"/>
        </w:rPr>
        <w:noBreakHyphen/>
      </w:r>
      <w:r w:rsidRPr="00885A98">
        <w:rPr>
          <w:rFonts w:eastAsiaTheme="minorEastAsia"/>
        </w:rPr>
        <w:t xml:space="preserve">managed super </w:t>
      </w:r>
      <w:r w:rsidRPr="00923A66">
        <w:rPr>
          <w:rFonts w:eastAsiaTheme="minorEastAsia"/>
        </w:rPr>
        <w:t>fund</w:t>
      </w:r>
      <w:r w:rsidRPr="00885A98" w:rsidDel="00885A98">
        <w:rPr>
          <w:rFonts w:eastAsiaTheme="minorEastAsia"/>
        </w:rPr>
        <w:t xml:space="preserve"> </w:t>
      </w:r>
      <w:r w:rsidRPr="0055673D">
        <w:rPr>
          <w:rFonts w:eastAsiaTheme="minorEastAsia"/>
        </w:rPr>
        <w:t>auditor registration dat</w:t>
      </w:r>
      <w:r>
        <w:rPr>
          <w:rFonts w:eastAsiaTheme="minorEastAsia"/>
        </w:rPr>
        <w:t>a, resulting in more than 500 individuals taking action to comply with their obligations, and the cancellation of 75 registrations.</w:t>
      </w:r>
    </w:p>
    <w:p w14:paraId="1D474A16" w14:textId="34D7FAC9" w:rsidR="00A86C9E" w:rsidRPr="00886B59" w:rsidRDefault="00A86C9E" w:rsidP="00975036">
      <w:pPr>
        <w:pStyle w:val="numberedtext"/>
        <w:numPr>
          <w:ilvl w:val="0"/>
          <w:numId w:val="23"/>
        </w:numPr>
        <w:rPr>
          <w:rFonts w:cstheme="minorHAnsi"/>
        </w:rPr>
      </w:pPr>
      <w:r w:rsidRPr="00886B59">
        <w:rPr>
          <w:rFonts w:cstheme="minorHAnsi"/>
        </w:rPr>
        <w:t xml:space="preserve">Staff </w:t>
      </w:r>
      <w:r w:rsidR="00AD288F">
        <w:rPr>
          <w:rFonts w:cstheme="minorHAnsi"/>
        </w:rPr>
        <w:t xml:space="preserve">members </w:t>
      </w:r>
      <w:r w:rsidR="00C63D05">
        <w:rPr>
          <w:rFonts w:cstheme="minorHAnsi"/>
        </w:rPr>
        <w:t>in</w:t>
      </w:r>
      <w:r w:rsidRPr="00886B59">
        <w:rPr>
          <w:rFonts w:cstheme="minorHAnsi"/>
        </w:rPr>
        <w:t xml:space="preserve"> ASIC</w:t>
      </w:r>
      <w:r w:rsidR="00EF40B0">
        <w:rPr>
          <w:rFonts w:cstheme="minorHAnsi"/>
        </w:rPr>
        <w:t>’</w:t>
      </w:r>
      <w:r w:rsidRPr="00886B59">
        <w:rPr>
          <w:rFonts w:cstheme="minorHAnsi"/>
        </w:rPr>
        <w:t>s surveillance team were positive when assessing the effectiveness of surveillances. Sixty</w:t>
      </w:r>
      <w:r w:rsidR="00EF40B0">
        <w:rPr>
          <w:rFonts w:cstheme="minorHAnsi"/>
        </w:rPr>
        <w:noBreakHyphen/>
      </w:r>
      <w:r w:rsidRPr="00886B59">
        <w:rPr>
          <w:rFonts w:cstheme="minorHAnsi"/>
        </w:rPr>
        <w:t xml:space="preserve">three per cent of surveillance staff believed thematic surveillances were effective in achieving their purpose, 65% believed surveillances of entities or individuals were </w:t>
      </w:r>
      <w:r w:rsidRPr="00886B59">
        <w:rPr>
          <w:rFonts w:cstheme="minorHAnsi"/>
        </w:rPr>
        <w:lastRenderedPageBreak/>
        <w:t>effective in achieving their purpose and 60% of staff believed that programmatic surveillances were effective in achieving their purpose</w:t>
      </w:r>
      <w:r w:rsidR="0054293F">
        <w:rPr>
          <w:rFonts w:cstheme="minorHAnsi"/>
        </w:rPr>
        <w:t>.</w:t>
      </w:r>
      <w:r w:rsidRPr="00886B59">
        <w:rPr>
          <w:rFonts w:cstheme="minorHAnsi"/>
          <w:vertAlign w:val="superscript"/>
        </w:rPr>
        <w:t>.</w:t>
      </w:r>
      <w:r w:rsidRPr="00886B59">
        <w:rPr>
          <w:vertAlign w:val="superscript"/>
        </w:rPr>
        <w:footnoteReference w:id="91"/>
      </w:r>
      <w:r w:rsidRPr="00886B59">
        <w:rPr>
          <w:rFonts w:cstheme="minorHAnsi"/>
          <w:vertAlign w:val="superscript"/>
        </w:rPr>
        <w:t xml:space="preserve"> </w:t>
      </w:r>
    </w:p>
    <w:p w14:paraId="52F1EEBB" w14:textId="7ABFDECB" w:rsidR="00A86C9E" w:rsidRPr="00886B59" w:rsidRDefault="007C5CF4" w:rsidP="00975036">
      <w:pPr>
        <w:pStyle w:val="numberedtext"/>
        <w:numPr>
          <w:ilvl w:val="0"/>
          <w:numId w:val="23"/>
        </w:numPr>
        <w:rPr>
          <w:rFonts w:cstheme="minorHAnsi"/>
        </w:rPr>
      </w:pPr>
      <w:r>
        <w:rPr>
          <w:rFonts w:cstheme="minorHAnsi"/>
        </w:rPr>
        <w:t>I</w:t>
      </w:r>
      <w:r w:rsidR="00A86C9E" w:rsidRPr="00886B59">
        <w:rPr>
          <w:rFonts w:cstheme="minorHAnsi"/>
        </w:rPr>
        <w:t xml:space="preserve">ndustry and consumer advocacy </w:t>
      </w:r>
      <w:r w:rsidR="007F48B4">
        <w:rPr>
          <w:rFonts w:cstheme="minorHAnsi"/>
        </w:rPr>
        <w:t>submissions</w:t>
      </w:r>
      <w:r w:rsidR="00A86C9E" w:rsidRPr="00886B59">
        <w:rPr>
          <w:rFonts w:cstheme="minorHAnsi"/>
        </w:rPr>
        <w:t xml:space="preserve"> agreed on the value of ASIC</w:t>
      </w:r>
      <w:r w:rsidR="00EF40B0">
        <w:rPr>
          <w:rFonts w:cstheme="minorHAnsi"/>
        </w:rPr>
        <w:t>’</w:t>
      </w:r>
      <w:r w:rsidR="00A86C9E" w:rsidRPr="00886B59">
        <w:rPr>
          <w:rFonts w:cstheme="minorHAnsi"/>
        </w:rPr>
        <w:t>s surveillance activities.</w:t>
      </w:r>
      <w:r w:rsidR="00A86C9E" w:rsidRPr="00886B59">
        <w:rPr>
          <w:rFonts w:cstheme="minorHAnsi"/>
          <w:vertAlign w:val="superscript"/>
        </w:rPr>
        <w:footnoteReference w:id="92"/>
      </w:r>
      <w:r w:rsidR="00A86C9E" w:rsidRPr="00886B59">
        <w:rPr>
          <w:rFonts w:cstheme="minorHAnsi"/>
        </w:rPr>
        <w:t xml:space="preserve"> Submissions noted the importance of ASIC</w:t>
      </w:r>
      <w:r w:rsidR="00EF40B0">
        <w:rPr>
          <w:rFonts w:cstheme="minorHAnsi"/>
        </w:rPr>
        <w:t>’</w:t>
      </w:r>
      <w:r w:rsidR="00A86C9E" w:rsidRPr="00886B59">
        <w:rPr>
          <w:rFonts w:cstheme="minorHAnsi"/>
        </w:rPr>
        <w:t>s surveillance activities in identifying and driving better practice, as well as supporting positive consumer outcomes.</w:t>
      </w:r>
    </w:p>
    <w:p w14:paraId="26605360" w14:textId="3178F4B8" w:rsidR="00A86C9E" w:rsidRPr="0084346A" w:rsidRDefault="00EF40B0" w:rsidP="0001492E">
      <w:pPr>
        <w:pStyle w:val="Quote"/>
      </w:pPr>
      <w:r>
        <w:t>‘</w:t>
      </w:r>
      <w:r w:rsidR="00A86C9E" w:rsidRPr="00F7690E">
        <w:t>ASIC</w:t>
      </w:r>
      <w:r>
        <w:t>’</w:t>
      </w:r>
      <w:r w:rsidR="00A86C9E" w:rsidRPr="00F7690E">
        <w:t xml:space="preserve">s surveillance undoubtedly helps investors and consumers have confidence in the integrity of financial </w:t>
      </w:r>
      <w:r w:rsidR="00A86C9E" w:rsidRPr="00072B0C">
        <w:rPr>
          <w:rFonts w:cstheme="minorHAnsi"/>
        </w:rPr>
        <w:t>reporting</w:t>
      </w:r>
      <w:r w:rsidR="00A86C9E" w:rsidRPr="00F7690E">
        <w:t xml:space="preserve"> and disclosure in directors</w:t>
      </w:r>
      <w:r>
        <w:t>’</w:t>
      </w:r>
      <w:r w:rsidR="00A86C9E" w:rsidRPr="00F7690E">
        <w:t xml:space="preserve"> reports and the OFR</w:t>
      </w:r>
      <w:r w:rsidR="00A86C9E">
        <w:t xml:space="preserve"> (</w:t>
      </w:r>
      <w:r w:rsidR="00A86C9E" w:rsidRPr="00F71B60">
        <w:t>operating and financial review</w:t>
      </w:r>
      <w:r w:rsidR="00A86C9E">
        <w:t>).</w:t>
      </w:r>
      <w:r>
        <w:t>’</w:t>
      </w:r>
      <w:r w:rsidR="00A86C9E" w:rsidRPr="00F7690E">
        <w:t xml:space="preserve"> </w:t>
      </w:r>
      <w:r w:rsidR="00044D1C">
        <w:t xml:space="preserve">– </w:t>
      </w:r>
      <w:r w:rsidR="00A86C9E" w:rsidRPr="00F7690E">
        <w:t>Public submission, Australian Institute of Company Directors</w:t>
      </w:r>
    </w:p>
    <w:p w14:paraId="586B62BD" w14:textId="1D811724" w:rsidR="00A86C9E" w:rsidRPr="0084346A" w:rsidRDefault="00EF40B0" w:rsidP="0001492E">
      <w:pPr>
        <w:pStyle w:val="Quote"/>
      </w:pPr>
      <w:r>
        <w:t>‘</w:t>
      </w:r>
      <w:r w:rsidR="00A86C9E" w:rsidRPr="00F7690E">
        <w:t>ASIC</w:t>
      </w:r>
      <w:r>
        <w:t>’</w:t>
      </w:r>
      <w:r w:rsidR="00A86C9E" w:rsidRPr="00F7690E">
        <w:t xml:space="preserve">s Audit Inspection Program and Financial Reporting Surveillance are seen to play valuable roles in </w:t>
      </w:r>
      <w:r w:rsidR="00A86C9E" w:rsidRPr="00B536BC">
        <w:t>promoting</w:t>
      </w:r>
      <w:r w:rsidR="00A86C9E" w:rsidRPr="00F7690E">
        <w:t xml:space="preserve"> continuous improvement in </w:t>
      </w:r>
      <w:r w:rsidR="00A86C9E" w:rsidRPr="004D5C23">
        <w:t>financial</w:t>
      </w:r>
      <w:r w:rsidR="00A86C9E" w:rsidRPr="00F7690E">
        <w:t xml:space="preserve"> reporting and audit quality</w:t>
      </w:r>
      <w:r w:rsidR="00A86C9E">
        <w:t>.</w:t>
      </w:r>
      <w:r>
        <w:t>’</w:t>
      </w:r>
      <w:r w:rsidR="00A86C9E" w:rsidRPr="00F7690E">
        <w:t xml:space="preserve"> </w:t>
      </w:r>
      <w:r w:rsidR="00044D1C">
        <w:t xml:space="preserve">– </w:t>
      </w:r>
      <w:r w:rsidR="00A86C9E" w:rsidRPr="00F7690E">
        <w:t>Public submission, Chartered Accountants Australia and New Zealand</w:t>
      </w:r>
    </w:p>
    <w:p w14:paraId="2AB7D6D6" w14:textId="4307EFD5" w:rsidR="00A86C9E" w:rsidRPr="00886B59" w:rsidRDefault="00A86C9E" w:rsidP="00975036">
      <w:pPr>
        <w:pStyle w:val="numberedtext"/>
        <w:numPr>
          <w:ilvl w:val="0"/>
          <w:numId w:val="23"/>
        </w:numPr>
        <w:rPr>
          <w:rFonts w:cstheme="minorHAnsi"/>
        </w:rPr>
      </w:pPr>
      <w:r w:rsidRPr="00886B59">
        <w:rPr>
          <w:rFonts w:cstheme="minorHAnsi"/>
        </w:rPr>
        <w:t>Consumer advocacy submissions spoke positively about recent thematic surveillances, including ASIC</w:t>
      </w:r>
      <w:r w:rsidR="00EF40B0">
        <w:rPr>
          <w:rFonts w:cstheme="minorHAnsi"/>
        </w:rPr>
        <w:t>’</w:t>
      </w:r>
      <w:r w:rsidRPr="00886B59">
        <w:rPr>
          <w:rFonts w:cstheme="minorHAnsi"/>
        </w:rPr>
        <w:t>s work relati</w:t>
      </w:r>
      <w:r w:rsidR="007B515D">
        <w:rPr>
          <w:rFonts w:cstheme="minorHAnsi"/>
        </w:rPr>
        <w:t>ng</w:t>
      </w:r>
      <w:r w:rsidRPr="00886B59">
        <w:rPr>
          <w:rFonts w:cstheme="minorHAnsi"/>
        </w:rPr>
        <w:t xml:space="preserve"> to contracts for difference, mortgage broking and buy</w:t>
      </w:r>
      <w:r w:rsidR="00EF40B0">
        <w:rPr>
          <w:rFonts w:cstheme="minorHAnsi"/>
        </w:rPr>
        <w:noBreakHyphen/>
      </w:r>
      <w:r w:rsidRPr="00886B59">
        <w:rPr>
          <w:rFonts w:cstheme="minorHAnsi"/>
        </w:rPr>
        <w:t>now</w:t>
      </w:r>
      <w:r w:rsidR="00EF40B0">
        <w:rPr>
          <w:rFonts w:cstheme="minorHAnsi"/>
        </w:rPr>
        <w:noBreakHyphen/>
      </w:r>
      <w:r w:rsidRPr="00886B59">
        <w:rPr>
          <w:rFonts w:cstheme="minorHAnsi"/>
        </w:rPr>
        <w:t>pay</w:t>
      </w:r>
      <w:r w:rsidR="00EF40B0">
        <w:rPr>
          <w:rFonts w:cstheme="minorHAnsi"/>
        </w:rPr>
        <w:noBreakHyphen/>
      </w:r>
      <w:r w:rsidRPr="00886B59">
        <w:rPr>
          <w:rFonts w:cstheme="minorHAnsi"/>
        </w:rPr>
        <w:t>later services</w:t>
      </w:r>
      <w:r w:rsidR="001A1CBE" w:rsidRPr="00886B59">
        <w:rPr>
          <w:rFonts w:cstheme="minorHAnsi"/>
        </w:rPr>
        <w:t xml:space="preserve">. </w:t>
      </w:r>
    </w:p>
    <w:p w14:paraId="69B991FA" w14:textId="190AF017" w:rsidR="00A86C9E" w:rsidRPr="00F7690E" w:rsidRDefault="00EF40B0" w:rsidP="0001492E">
      <w:pPr>
        <w:pStyle w:val="Quote"/>
      </w:pPr>
      <w:r>
        <w:t>‘</w:t>
      </w:r>
      <w:r w:rsidR="00A86C9E" w:rsidRPr="00F7690E">
        <w:t>ASIC</w:t>
      </w:r>
      <w:r>
        <w:t>’</w:t>
      </w:r>
      <w:r w:rsidR="00A86C9E" w:rsidRPr="00F7690E">
        <w:t xml:space="preserve">s </w:t>
      </w:r>
      <w:r w:rsidR="00A86C9E" w:rsidRPr="00B536BC">
        <w:t>regulation</w:t>
      </w:r>
      <w:r w:rsidR="00A86C9E" w:rsidRPr="00F7690E">
        <w:t xml:space="preserve"> of the contracts for difference market is a valuable example of how surveillance can be used as the basis for effective regulatory action</w:t>
      </w:r>
      <w:r w:rsidR="00A86C9E">
        <w:t>.</w:t>
      </w:r>
      <w:r>
        <w:t>’</w:t>
      </w:r>
      <w:r w:rsidR="00A86C9E" w:rsidRPr="00F7690E">
        <w:t xml:space="preserve"> </w:t>
      </w:r>
      <w:r w:rsidR="00044D1C">
        <w:t xml:space="preserve">– </w:t>
      </w:r>
      <w:r w:rsidR="00A86C9E" w:rsidRPr="00F7690E">
        <w:t xml:space="preserve">Public submission, </w:t>
      </w:r>
      <w:r w:rsidR="00A86C9E">
        <w:t>CHOICE</w:t>
      </w:r>
    </w:p>
    <w:p w14:paraId="0F22138B" w14:textId="685D6BB7" w:rsidR="00A86C9E" w:rsidRDefault="00EF40B0" w:rsidP="0001492E">
      <w:pPr>
        <w:pStyle w:val="Quote"/>
      </w:pPr>
      <w:r>
        <w:t>‘</w:t>
      </w:r>
      <w:r w:rsidR="00A86C9E" w:rsidRPr="00F7690E">
        <w:t>ASIC</w:t>
      </w:r>
      <w:r>
        <w:t>’</w:t>
      </w:r>
      <w:r w:rsidR="00A86C9E" w:rsidRPr="00F7690E">
        <w:t xml:space="preserve">s review of the mortgage broker industry is another example of how surveillance can be used effectively to </w:t>
      </w:r>
      <w:r w:rsidR="00A86C9E" w:rsidRPr="00B536BC">
        <w:t>improve</w:t>
      </w:r>
      <w:r w:rsidR="00A86C9E" w:rsidRPr="00F7690E">
        <w:t xml:space="preserve"> outcomes in a financial services market</w:t>
      </w:r>
      <w:r w:rsidR="00A86C9E">
        <w:t>.</w:t>
      </w:r>
      <w:r>
        <w:t>’</w:t>
      </w:r>
      <w:r w:rsidR="00A86C9E" w:rsidRPr="00F7690E">
        <w:t xml:space="preserve"> </w:t>
      </w:r>
      <w:r w:rsidR="00044D1C">
        <w:t xml:space="preserve">– </w:t>
      </w:r>
      <w:r w:rsidR="00A86C9E" w:rsidRPr="00F7690E">
        <w:t xml:space="preserve">Public submission, </w:t>
      </w:r>
      <w:r w:rsidR="00A86C9E">
        <w:t>CHOICE</w:t>
      </w:r>
    </w:p>
    <w:p w14:paraId="2954684E" w14:textId="228C9D73" w:rsidR="00A86C9E" w:rsidRPr="00886B59" w:rsidRDefault="00935581" w:rsidP="00935581">
      <w:pPr>
        <w:numPr>
          <w:ilvl w:val="0"/>
          <w:numId w:val="23"/>
        </w:numPr>
        <w:spacing w:before="0" w:after="160" w:line="257" w:lineRule="auto"/>
        <w:rPr>
          <w:rFonts w:cstheme="minorHAnsi"/>
        </w:rPr>
      </w:pPr>
      <w:r w:rsidRPr="000A3FB2">
        <w:rPr>
          <w:szCs w:val="22"/>
        </w:rPr>
        <w:t xml:space="preserve">This </w:t>
      </w:r>
      <w:r w:rsidR="00FF1551">
        <w:rPr>
          <w:szCs w:val="22"/>
        </w:rPr>
        <w:t>r</w:t>
      </w:r>
      <w:r w:rsidRPr="000A3FB2">
        <w:rPr>
          <w:szCs w:val="22"/>
        </w:rPr>
        <w:t>eview</w:t>
      </w:r>
      <w:r w:rsidR="00A86C9E" w:rsidRPr="000A3FB2">
        <w:rPr>
          <w:szCs w:val="22"/>
        </w:rPr>
        <w:t xml:space="preserve"> has not</w:t>
      </w:r>
      <w:r w:rsidR="00C16F6D">
        <w:rPr>
          <w:szCs w:val="22"/>
        </w:rPr>
        <w:t xml:space="preserve"> identified </w:t>
      </w:r>
      <w:r w:rsidR="00A86C9E" w:rsidRPr="000A3FB2">
        <w:rPr>
          <w:szCs w:val="22"/>
        </w:rPr>
        <w:t xml:space="preserve">evidence to suggest that </w:t>
      </w:r>
      <w:r w:rsidR="00A86C9E">
        <w:rPr>
          <w:szCs w:val="22"/>
        </w:rPr>
        <w:t>s</w:t>
      </w:r>
      <w:r w:rsidR="00A86C9E" w:rsidRPr="000A3FB2">
        <w:rPr>
          <w:szCs w:val="22"/>
        </w:rPr>
        <w:t xml:space="preserve">urveillances at ASIC are </w:t>
      </w:r>
      <w:r w:rsidRPr="000A3FB2">
        <w:rPr>
          <w:szCs w:val="22"/>
        </w:rPr>
        <w:t>ineffective</w:t>
      </w:r>
      <w:r w:rsidR="00A86C9E" w:rsidRPr="000A3FB2">
        <w:rPr>
          <w:szCs w:val="22"/>
        </w:rPr>
        <w:t xml:space="preserve"> in achi</w:t>
      </w:r>
      <w:r w:rsidR="00A86C9E" w:rsidRPr="00886B59">
        <w:rPr>
          <w:rFonts w:cstheme="minorHAnsi"/>
        </w:rPr>
        <w:t>eving desired outcomes.</w:t>
      </w:r>
    </w:p>
    <w:p w14:paraId="263243A4" w14:textId="77777777" w:rsidR="00A86C9E" w:rsidRPr="00D024EA" w:rsidRDefault="00A86C9E" w:rsidP="00D024EA">
      <w:pPr>
        <w:pStyle w:val="Heading4"/>
      </w:pPr>
      <w:r w:rsidRPr="00D024EA">
        <w:t>Targeting of surveillances</w:t>
      </w:r>
    </w:p>
    <w:p w14:paraId="7159B31B" w14:textId="77777777" w:rsidR="00A86C9E" w:rsidRPr="00886B59" w:rsidRDefault="00A86C9E" w:rsidP="00975036">
      <w:pPr>
        <w:pStyle w:val="numberedtext"/>
        <w:numPr>
          <w:ilvl w:val="0"/>
          <w:numId w:val="23"/>
        </w:numPr>
        <w:rPr>
          <w:rFonts w:cstheme="minorHAnsi"/>
        </w:rPr>
      </w:pPr>
      <w:r w:rsidRPr="00886B59">
        <w:rPr>
          <w:rFonts w:cstheme="minorHAnsi"/>
        </w:rPr>
        <w:t xml:space="preserve">As ASIC has finite resources, surveillance activities should generally be targeted towards those areas of risk and harm that present the greatest potential detriment to consumers and investors. </w:t>
      </w:r>
    </w:p>
    <w:p w14:paraId="19390C6B" w14:textId="3334186B" w:rsidR="00A86C9E" w:rsidRPr="00886B59" w:rsidRDefault="00A86C9E" w:rsidP="00975036">
      <w:pPr>
        <w:pStyle w:val="numberedtext"/>
        <w:numPr>
          <w:ilvl w:val="0"/>
          <w:numId w:val="23"/>
        </w:numPr>
        <w:rPr>
          <w:rFonts w:cstheme="minorHAnsi"/>
        </w:rPr>
      </w:pPr>
      <w:r w:rsidRPr="00886B59">
        <w:rPr>
          <w:rFonts w:cstheme="minorHAnsi"/>
        </w:rPr>
        <w:t>ASIC</w:t>
      </w:r>
      <w:r w:rsidR="00EF40B0">
        <w:rPr>
          <w:rFonts w:cstheme="minorHAnsi"/>
        </w:rPr>
        <w:t>’</w:t>
      </w:r>
      <w:r w:rsidRPr="00886B59">
        <w:rPr>
          <w:rFonts w:cstheme="minorHAnsi"/>
        </w:rPr>
        <w:t>s targeting of surveillances is underpinned by 2 processes:</w:t>
      </w:r>
    </w:p>
    <w:p w14:paraId="3C9E3738" w14:textId="3D4998E2" w:rsidR="00A86C9E" w:rsidRPr="009B5E1D" w:rsidRDefault="00A0243A" w:rsidP="00923A66">
      <w:pPr>
        <w:pStyle w:val="Bullet"/>
        <w:rPr>
          <w:rFonts w:eastAsiaTheme="minorEastAsia"/>
        </w:rPr>
      </w:pPr>
      <w:r w:rsidRPr="006470FC">
        <w:rPr>
          <w:rFonts w:eastAsiaTheme="minorEastAsia"/>
          <w:b/>
          <w:bCs/>
        </w:rPr>
        <w:t>T</w:t>
      </w:r>
      <w:r w:rsidR="00A86C9E" w:rsidRPr="006470FC">
        <w:rPr>
          <w:rFonts w:eastAsiaTheme="minorEastAsia"/>
          <w:b/>
        </w:rPr>
        <w:t xml:space="preserve">hematic and programmatic </w:t>
      </w:r>
      <w:r w:rsidR="00A86C9E" w:rsidRPr="006470FC">
        <w:rPr>
          <w:rFonts w:eastAsiaTheme="minorEastAsia"/>
          <w:b/>
          <w:bCs/>
        </w:rPr>
        <w:t>surveillance</w:t>
      </w:r>
      <w:r>
        <w:rPr>
          <w:rFonts w:eastAsiaTheme="minorEastAsia"/>
          <w:b/>
          <w:bCs/>
        </w:rPr>
        <w:t>:</w:t>
      </w:r>
      <w:r w:rsidR="00A86C9E">
        <w:rPr>
          <w:rFonts w:eastAsiaTheme="minorEastAsia"/>
        </w:rPr>
        <w:t xml:space="preserve"> activities</w:t>
      </w:r>
      <w:r w:rsidR="00A86C9E" w:rsidRPr="0055673D">
        <w:rPr>
          <w:rFonts w:eastAsiaTheme="minorEastAsia"/>
        </w:rPr>
        <w:t xml:space="preserve"> are targeted to address the Commission</w:t>
      </w:r>
      <w:r w:rsidR="00EF40B0">
        <w:rPr>
          <w:rFonts w:eastAsiaTheme="minorEastAsia"/>
        </w:rPr>
        <w:t>’</w:t>
      </w:r>
      <w:r w:rsidR="00A86C9E" w:rsidRPr="0055673D">
        <w:rPr>
          <w:rFonts w:eastAsiaTheme="minorEastAsia"/>
        </w:rPr>
        <w:t xml:space="preserve">s </w:t>
      </w:r>
      <w:r w:rsidR="00A86C9E" w:rsidRPr="00072B0C">
        <w:rPr>
          <w:rFonts w:eastAsiaTheme="minorEastAsia"/>
        </w:rPr>
        <w:t>strategic</w:t>
      </w:r>
      <w:r w:rsidR="00A86C9E" w:rsidRPr="0055673D">
        <w:rPr>
          <w:rFonts w:eastAsiaTheme="minorEastAsia"/>
        </w:rPr>
        <w:t xml:space="preserve"> priorities</w:t>
      </w:r>
      <w:r w:rsidR="00944A4D" w:rsidRPr="00A8180E">
        <w:rPr>
          <w:rFonts w:eastAsiaTheme="minorEastAsia"/>
        </w:rPr>
        <w:t xml:space="preserve"> and Commission</w:t>
      </w:r>
      <w:r w:rsidR="00EF40B0">
        <w:rPr>
          <w:rFonts w:eastAsiaTheme="minorEastAsia"/>
        </w:rPr>
        <w:noBreakHyphen/>
      </w:r>
      <w:r w:rsidR="00944A4D" w:rsidRPr="00A8180E">
        <w:rPr>
          <w:rFonts w:eastAsiaTheme="minorEastAsia"/>
        </w:rPr>
        <w:t xml:space="preserve">endorsed </w:t>
      </w:r>
      <w:r w:rsidR="00944A4D">
        <w:rPr>
          <w:rFonts w:eastAsiaTheme="minorEastAsia"/>
        </w:rPr>
        <w:t>g</w:t>
      </w:r>
      <w:r w:rsidR="00944A4D" w:rsidRPr="00A8180E">
        <w:rPr>
          <w:rFonts w:eastAsiaTheme="minorEastAsia"/>
        </w:rPr>
        <w:t>roup objectives</w:t>
      </w:r>
      <w:r w:rsidR="00A86C9E" w:rsidRPr="0055673D">
        <w:rPr>
          <w:rFonts w:eastAsiaTheme="minorEastAsia"/>
        </w:rPr>
        <w:t xml:space="preserve">. As detailed in </w:t>
      </w:r>
      <w:r w:rsidR="00A6032A" w:rsidRPr="00E26C84">
        <w:t>Chapter 3: Strategic prioritisation, planning and decision</w:t>
      </w:r>
      <w:r w:rsidR="00A6032A">
        <w:noBreakHyphen/>
      </w:r>
      <w:r w:rsidR="00A6032A" w:rsidRPr="00E26C84">
        <w:t>making</w:t>
      </w:r>
      <w:r w:rsidR="00A86C9E" w:rsidRPr="0055673D">
        <w:rPr>
          <w:rFonts w:eastAsiaTheme="minorEastAsia"/>
        </w:rPr>
        <w:t xml:space="preserve">, ASIC develops its strategic priorities, </w:t>
      </w:r>
      <w:r w:rsidR="00A86C9E">
        <w:rPr>
          <w:rFonts w:eastAsiaTheme="minorEastAsia"/>
        </w:rPr>
        <w:t>g</w:t>
      </w:r>
      <w:r w:rsidR="00A86C9E" w:rsidRPr="0055673D">
        <w:rPr>
          <w:rFonts w:eastAsiaTheme="minorEastAsia"/>
        </w:rPr>
        <w:t xml:space="preserve">roup objectives and associated programs of </w:t>
      </w:r>
      <w:r w:rsidR="00A86C9E" w:rsidRPr="00923A66">
        <w:rPr>
          <w:rFonts w:eastAsiaTheme="minorEastAsia"/>
        </w:rPr>
        <w:t>work</w:t>
      </w:r>
      <w:r w:rsidR="00A86C9E" w:rsidRPr="0055673D">
        <w:rPr>
          <w:rFonts w:eastAsiaTheme="minorEastAsia"/>
        </w:rPr>
        <w:t xml:space="preserve"> through the Commission</w:t>
      </w:r>
      <w:r w:rsidR="00EF40B0">
        <w:rPr>
          <w:rFonts w:eastAsiaTheme="minorEastAsia"/>
        </w:rPr>
        <w:noBreakHyphen/>
      </w:r>
      <w:r w:rsidR="00A86C9E" w:rsidRPr="0055673D">
        <w:rPr>
          <w:rFonts w:eastAsiaTheme="minorEastAsia"/>
        </w:rPr>
        <w:t xml:space="preserve">led annual strategic planning process. This process informs the creation of </w:t>
      </w:r>
      <w:r w:rsidR="00A86C9E">
        <w:rPr>
          <w:rFonts w:eastAsiaTheme="minorEastAsia"/>
        </w:rPr>
        <w:t xml:space="preserve">group </w:t>
      </w:r>
      <w:r w:rsidR="00A86C9E" w:rsidRPr="0055673D">
        <w:rPr>
          <w:rFonts w:eastAsiaTheme="minorEastAsia"/>
        </w:rPr>
        <w:t>business plans, which detail the thematic and programmatic surveillance</w:t>
      </w:r>
      <w:r w:rsidR="00A86C9E">
        <w:rPr>
          <w:rFonts w:eastAsiaTheme="minorEastAsia"/>
        </w:rPr>
        <w:t xml:space="preserve"> activities planned</w:t>
      </w:r>
      <w:r w:rsidR="00A86C9E" w:rsidRPr="0055673D">
        <w:rPr>
          <w:rFonts w:eastAsiaTheme="minorEastAsia"/>
        </w:rPr>
        <w:t xml:space="preserve"> for each financial year. </w:t>
      </w:r>
    </w:p>
    <w:p w14:paraId="1CB92AB9" w14:textId="38021C4A" w:rsidR="00A86C9E" w:rsidRPr="009B5E1D" w:rsidRDefault="00A0243A" w:rsidP="00923A66">
      <w:pPr>
        <w:pStyle w:val="Bullet"/>
      </w:pPr>
      <w:r w:rsidRPr="006470FC">
        <w:rPr>
          <w:rFonts w:eastAsiaTheme="minorEastAsia"/>
          <w:b/>
          <w:bCs/>
        </w:rPr>
        <w:t>S</w:t>
      </w:r>
      <w:r w:rsidR="00A86C9E" w:rsidRPr="006470FC">
        <w:rPr>
          <w:rFonts w:eastAsiaTheme="minorEastAsia"/>
          <w:b/>
        </w:rPr>
        <w:t>urveillance of entities or individuals</w:t>
      </w:r>
      <w:r>
        <w:rPr>
          <w:rFonts w:eastAsiaTheme="minorEastAsia"/>
          <w:b/>
          <w:bCs/>
        </w:rPr>
        <w:t>:</w:t>
      </w:r>
      <w:r w:rsidR="00A86C9E" w:rsidRPr="0055673D">
        <w:rPr>
          <w:rFonts w:eastAsiaTheme="minorEastAsia"/>
        </w:rPr>
        <w:t xml:space="preserve"> ASIC</w:t>
      </w:r>
      <w:r w:rsidR="00EF40B0">
        <w:rPr>
          <w:rFonts w:eastAsiaTheme="minorEastAsia"/>
        </w:rPr>
        <w:t>’</w:t>
      </w:r>
      <w:r w:rsidR="00A86C9E" w:rsidRPr="0055673D">
        <w:rPr>
          <w:rFonts w:eastAsiaTheme="minorEastAsia"/>
        </w:rPr>
        <w:t xml:space="preserve">s targeting is </w:t>
      </w:r>
      <w:r w:rsidR="00A86C9E" w:rsidRPr="00923A66">
        <w:rPr>
          <w:rFonts w:eastAsiaTheme="minorEastAsia"/>
        </w:rPr>
        <w:t>informed</w:t>
      </w:r>
      <w:r w:rsidR="00A86C9E" w:rsidRPr="0055673D">
        <w:rPr>
          <w:rFonts w:eastAsiaTheme="minorEastAsia"/>
        </w:rPr>
        <w:t xml:space="preserve"> by information </w:t>
      </w:r>
      <w:r w:rsidR="00A86C9E" w:rsidRPr="00072B0C">
        <w:rPr>
          <w:rFonts w:eastAsiaTheme="minorEastAsia"/>
        </w:rPr>
        <w:t>obtained</w:t>
      </w:r>
      <w:r w:rsidR="00A86C9E" w:rsidRPr="0055673D">
        <w:rPr>
          <w:rFonts w:eastAsiaTheme="minorEastAsia"/>
        </w:rPr>
        <w:t xml:space="preserve"> from </w:t>
      </w:r>
      <w:r w:rsidR="003C09F7">
        <w:rPr>
          <w:rFonts w:eastAsiaTheme="minorEastAsia"/>
        </w:rPr>
        <w:t>several</w:t>
      </w:r>
      <w:r w:rsidR="00A86C9E" w:rsidRPr="0055673D">
        <w:rPr>
          <w:rFonts w:eastAsiaTheme="minorEastAsia"/>
        </w:rPr>
        <w:t xml:space="preserve"> sources</w:t>
      </w:r>
      <w:r w:rsidR="003C09F7">
        <w:rPr>
          <w:rFonts w:eastAsiaTheme="minorEastAsia"/>
        </w:rPr>
        <w:t xml:space="preserve"> </w:t>
      </w:r>
      <w:r w:rsidR="00A86C9E" w:rsidRPr="0055673D">
        <w:rPr>
          <w:rFonts w:eastAsiaTheme="minorEastAsia"/>
        </w:rPr>
        <w:t xml:space="preserve">including </w:t>
      </w:r>
      <w:r w:rsidR="003C09F7">
        <w:rPr>
          <w:rFonts w:eastAsiaTheme="minorEastAsia"/>
        </w:rPr>
        <w:t>(</w:t>
      </w:r>
      <w:r w:rsidR="00A86C9E" w:rsidRPr="0055673D">
        <w:rPr>
          <w:rFonts w:eastAsiaTheme="minorEastAsia"/>
        </w:rPr>
        <w:t>but not limited to</w:t>
      </w:r>
      <w:r w:rsidR="003C09F7">
        <w:rPr>
          <w:rFonts w:eastAsiaTheme="minorEastAsia"/>
        </w:rPr>
        <w:t>)</w:t>
      </w:r>
      <w:r w:rsidR="00A86C9E" w:rsidRPr="0055673D">
        <w:rPr>
          <w:rFonts w:eastAsiaTheme="minorEastAsia"/>
        </w:rPr>
        <w:t xml:space="preserve"> breach reports, reports of misconduct and automated monitoring.</w:t>
      </w:r>
    </w:p>
    <w:p w14:paraId="06A8CAB6" w14:textId="6AC38E6A" w:rsidR="00A86C9E" w:rsidRPr="00886B59" w:rsidRDefault="00A86C9E" w:rsidP="00975036">
      <w:pPr>
        <w:pStyle w:val="numberedtext"/>
        <w:numPr>
          <w:ilvl w:val="0"/>
          <w:numId w:val="23"/>
        </w:numPr>
        <w:rPr>
          <w:rFonts w:cstheme="minorHAnsi"/>
        </w:rPr>
      </w:pPr>
      <w:r w:rsidRPr="00886B59">
        <w:rPr>
          <w:rFonts w:cstheme="minorHAnsi"/>
        </w:rPr>
        <w:lastRenderedPageBreak/>
        <w:t xml:space="preserve">Given the volume of information received by ASIC and the </w:t>
      </w:r>
      <w:r w:rsidR="00C55B8D">
        <w:rPr>
          <w:rFonts w:cstheme="minorHAnsi"/>
        </w:rPr>
        <w:t xml:space="preserve">large </w:t>
      </w:r>
      <w:r w:rsidRPr="00886B59">
        <w:rPr>
          <w:rFonts w:cstheme="minorHAnsi"/>
        </w:rPr>
        <w:t>number of regulated entities, ASIC adopts a risk</w:t>
      </w:r>
      <w:r w:rsidR="00EF40B0">
        <w:rPr>
          <w:rFonts w:cstheme="minorHAnsi"/>
        </w:rPr>
        <w:noBreakHyphen/>
      </w:r>
      <w:r w:rsidRPr="00886B59">
        <w:rPr>
          <w:rFonts w:cstheme="minorHAnsi"/>
        </w:rPr>
        <w:t xml:space="preserve">based approach to targeting entity or individual specific surveillances. Decisions </w:t>
      </w:r>
      <w:r w:rsidR="001A0376">
        <w:rPr>
          <w:rFonts w:cstheme="minorHAnsi"/>
        </w:rPr>
        <w:t>on</w:t>
      </w:r>
      <w:r w:rsidRPr="00886B59">
        <w:rPr>
          <w:rFonts w:cstheme="minorHAnsi"/>
        </w:rPr>
        <w:t xml:space="preserve"> which matters to pursue are primarily guided by the Commission</w:t>
      </w:r>
      <w:r w:rsidR="00EF40B0">
        <w:rPr>
          <w:rFonts w:cstheme="minorHAnsi"/>
        </w:rPr>
        <w:t>’</w:t>
      </w:r>
      <w:r w:rsidRPr="00886B59">
        <w:rPr>
          <w:rFonts w:cstheme="minorHAnsi"/>
        </w:rPr>
        <w:t>s strategic priorities and respective group objectives. Principles for selecting surveillances in accordance with these objectives are formalised in the ASIC CRM Risk and Priority Assessment forms, which are considered alongside team</w:t>
      </w:r>
      <w:r w:rsidR="00EF40B0">
        <w:rPr>
          <w:rFonts w:cstheme="minorHAnsi"/>
        </w:rPr>
        <w:noBreakHyphen/>
      </w:r>
      <w:r w:rsidRPr="00886B59">
        <w:rPr>
          <w:rFonts w:cstheme="minorHAnsi"/>
        </w:rPr>
        <w:t>specific criteria by the various internal decision</w:t>
      </w:r>
      <w:r w:rsidR="00EF40B0">
        <w:rPr>
          <w:rFonts w:cstheme="minorHAnsi"/>
        </w:rPr>
        <w:noBreakHyphen/>
      </w:r>
      <w:r w:rsidRPr="00886B59">
        <w:rPr>
          <w:rFonts w:cstheme="minorHAnsi"/>
        </w:rPr>
        <w:t xml:space="preserve">making bodies in triaging and selecting surveillances. </w:t>
      </w:r>
    </w:p>
    <w:p w14:paraId="147550E2" w14:textId="52C852A0" w:rsidR="00A86C9E" w:rsidRPr="00886B59" w:rsidRDefault="00A86C9E" w:rsidP="00975036">
      <w:pPr>
        <w:pStyle w:val="numberedtext"/>
        <w:numPr>
          <w:ilvl w:val="0"/>
          <w:numId w:val="23"/>
        </w:numPr>
        <w:rPr>
          <w:rFonts w:cstheme="minorHAnsi"/>
        </w:rPr>
      </w:pPr>
      <w:r w:rsidRPr="00886B59">
        <w:rPr>
          <w:rFonts w:cstheme="minorHAnsi"/>
        </w:rPr>
        <w:t>In its self</w:t>
      </w:r>
      <w:r w:rsidR="00EF40B0">
        <w:rPr>
          <w:rFonts w:cstheme="minorHAnsi"/>
        </w:rPr>
        <w:noBreakHyphen/>
      </w:r>
      <w:r w:rsidRPr="00886B59">
        <w:rPr>
          <w:rFonts w:cstheme="minorHAnsi"/>
        </w:rPr>
        <w:t xml:space="preserve">assessment, ASIC identified an opportunity to improve the targeting of its work. </w:t>
      </w:r>
    </w:p>
    <w:p w14:paraId="73AC9A62" w14:textId="6052970B" w:rsidR="00A86C9E" w:rsidRPr="004F27BA" w:rsidRDefault="00EF40B0" w:rsidP="0001492E">
      <w:pPr>
        <w:pStyle w:val="Quote"/>
        <w:rPr>
          <w:b/>
          <w:bCs/>
        </w:rPr>
      </w:pPr>
      <w:r>
        <w:t>‘</w:t>
      </w:r>
      <w:r w:rsidR="00A86C9E" w:rsidRPr="00F7690E">
        <w:t>We need to further refine and sharpen the targeting of our work through greater use of data and data analytics</w:t>
      </w:r>
      <w:r w:rsidR="00A86C9E">
        <w:t>.</w:t>
      </w:r>
      <w:r>
        <w:t>’</w:t>
      </w:r>
      <w:r w:rsidR="00A86C9E" w:rsidRPr="00F7690E">
        <w:t xml:space="preserve"> </w:t>
      </w:r>
      <w:r w:rsidR="008B67F9">
        <w:t xml:space="preserve">– </w:t>
      </w:r>
      <w:r w:rsidR="00A86C9E" w:rsidRPr="00F7690E">
        <w:t>ASIC self</w:t>
      </w:r>
      <w:r>
        <w:noBreakHyphen/>
      </w:r>
      <w:r w:rsidR="00A86C9E" w:rsidRPr="00F7690E">
        <w:t>assessment</w:t>
      </w:r>
    </w:p>
    <w:p w14:paraId="3FAB88DA" w14:textId="5A174FFB" w:rsidR="00A86C9E" w:rsidRPr="00886B59" w:rsidRDefault="00A86C9E" w:rsidP="00975036">
      <w:pPr>
        <w:pStyle w:val="numberedtext"/>
        <w:numPr>
          <w:ilvl w:val="0"/>
          <w:numId w:val="23"/>
        </w:numPr>
        <w:rPr>
          <w:rFonts w:cstheme="minorHAnsi"/>
        </w:rPr>
      </w:pPr>
      <w:r w:rsidRPr="00886B59">
        <w:rPr>
          <w:rFonts w:cstheme="minorHAnsi"/>
        </w:rPr>
        <w:t xml:space="preserve">ASIC staff feedback on the targeting of surveillances was mixed. Some ASIC staff </w:t>
      </w:r>
      <w:r w:rsidR="00D60898">
        <w:rPr>
          <w:rFonts w:cstheme="minorHAnsi"/>
        </w:rPr>
        <w:t>members</w:t>
      </w:r>
      <w:r w:rsidRPr="00886B59">
        <w:rPr>
          <w:rFonts w:cstheme="minorHAnsi"/>
        </w:rPr>
        <w:t xml:space="preserve"> commented that surveillances often target high</w:t>
      </w:r>
      <w:r w:rsidR="00EF40B0">
        <w:rPr>
          <w:rFonts w:cstheme="minorHAnsi"/>
        </w:rPr>
        <w:noBreakHyphen/>
      </w:r>
      <w:r w:rsidRPr="00886B59">
        <w:rPr>
          <w:rFonts w:cstheme="minorHAnsi"/>
        </w:rPr>
        <w:t>profile areas and not areas of harm. Further, they commented that ASIC</w:t>
      </w:r>
      <w:r w:rsidR="00EF40B0">
        <w:rPr>
          <w:rFonts w:cstheme="minorHAnsi"/>
        </w:rPr>
        <w:t>’</w:t>
      </w:r>
      <w:r w:rsidRPr="00886B59">
        <w:rPr>
          <w:rFonts w:cstheme="minorHAnsi"/>
        </w:rPr>
        <w:t>s use of data could be improved by applying a more risk</w:t>
      </w:r>
      <w:r w:rsidR="00EF40B0">
        <w:rPr>
          <w:rFonts w:cstheme="minorHAnsi"/>
        </w:rPr>
        <w:noBreakHyphen/>
      </w:r>
      <w:r w:rsidRPr="00886B59">
        <w:rPr>
          <w:rFonts w:cstheme="minorHAnsi"/>
        </w:rPr>
        <w:t xml:space="preserve">based target methodology. Other ASIC staff </w:t>
      </w:r>
      <w:r w:rsidR="00D60898">
        <w:rPr>
          <w:rFonts w:cstheme="minorHAnsi"/>
        </w:rPr>
        <w:t>members</w:t>
      </w:r>
      <w:r w:rsidRPr="00886B59">
        <w:rPr>
          <w:rFonts w:cstheme="minorHAnsi"/>
        </w:rPr>
        <w:t xml:space="preserve"> were more positive, noting that ASIC does a good job of selecting targets, and is supported by strong risk</w:t>
      </w:r>
      <w:r w:rsidR="00EF40B0">
        <w:rPr>
          <w:rFonts w:cstheme="minorHAnsi"/>
        </w:rPr>
        <w:noBreakHyphen/>
      </w:r>
      <w:r w:rsidRPr="00886B59">
        <w:rPr>
          <w:rFonts w:cstheme="minorHAnsi"/>
        </w:rPr>
        <w:t>based fundamentals which maximise the utility of the work.</w:t>
      </w:r>
    </w:p>
    <w:p w14:paraId="32ADF8B9" w14:textId="5F6A5A4B" w:rsidR="00A86C9E" w:rsidRPr="00886B59" w:rsidRDefault="00A86C9E" w:rsidP="00975036">
      <w:pPr>
        <w:pStyle w:val="numberedtext"/>
        <w:numPr>
          <w:ilvl w:val="0"/>
          <w:numId w:val="23"/>
        </w:numPr>
        <w:rPr>
          <w:rFonts w:cstheme="minorHAnsi"/>
        </w:rPr>
      </w:pPr>
      <w:r w:rsidRPr="00886B59">
        <w:rPr>
          <w:rFonts w:cstheme="minorHAnsi"/>
        </w:rPr>
        <w:t>Commentary in a minority of banking and markets submissions suggested that while ASIC</w:t>
      </w:r>
      <w:r w:rsidR="00EF40B0">
        <w:rPr>
          <w:rFonts w:cstheme="minorHAnsi"/>
        </w:rPr>
        <w:t>’</w:t>
      </w:r>
      <w:r w:rsidRPr="00886B59">
        <w:rPr>
          <w:rFonts w:cstheme="minorHAnsi"/>
        </w:rPr>
        <w:t>s risk</w:t>
      </w:r>
      <w:r w:rsidR="00EF40B0">
        <w:rPr>
          <w:rFonts w:cstheme="minorHAnsi"/>
        </w:rPr>
        <w:noBreakHyphen/>
      </w:r>
      <w:r w:rsidRPr="00886B59">
        <w:rPr>
          <w:rFonts w:cstheme="minorHAnsi"/>
        </w:rPr>
        <w:t xml:space="preserve">based approach was clear, activities could be better targeted to relevant risks and harms. Scope for improved targeting of surveillances was similarly noted in the </w:t>
      </w:r>
      <w:r w:rsidR="009107B6">
        <w:rPr>
          <w:rFonts w:cstheme="minorHAnsi"/>
        </w:rPr>
        <w:t>stakeholder</w:t>
      </w:r>
      <w:r w:rsidRPr="00886B59">
        <w:rPr>
          <w:rFonts w:cstheme="minorHAnsi"/>
        </w:rPr>
        <w:t xml:space="preserve"> survey, where only 22% of respondents agreed that ASIC surve</w:t>
      </w:r>
      <w:r w:rsidR="00944A4D">
        <w:rPr>
          <w:rFonts w:cstheme="minorHAnsi"/>
        </w:rPr>
        <w:t>ils</w:t>
      </w:r>
      <w:r w:rsidRPr="00886B59">
        <w:rPr>
          <w:rFonts w:cstheme="minorHAnsi"/>
        </w:rPr>
        <w:t xml:space="preserve"> the right mix of market actors and activities</w:t>
      </w:r>
      <w:r w:rsidR="00242F61">
        <w:rPr>
          <w:rFonts w:cstheme="minorHAnsi"/>
        </w:rPr>
        <w:t>.</w:t>
      </w:r>
      <w:r w:rsidRPr="00886B59">
        <w:rPr>
          <w:rFonts w:cstheme="minorHAnsi"/>
          <w:vertAlign w:val="superscript"/>
        </w:rPr>
        <w:footnoteReference w:id="93"/>
      </w:r>
    </w:p>
    <w:p w14:paraId="572BAFC4" w14:textId="1FA52F32" w:rsidR="00A86C9E" w:rsidRPr="00886B59" w:rsidRDefault="00A86C9E" w:rsidP="00975036">
      <w:pPr>
        <w:pStyle w:val="numberedtext"/>
        <w:numPr>
          <w:ilvl w:val="0"/>
          <w:numId w:val="23"/>
        </w:numPr>
        <w:rPr>
          <w:rFonts w:cstheme="minorHAnsi"/>
        </w:rPr>
      </w:pPr>
      <w:r w:rsidRPr="00886B59">
        <w:rPr>
          <w:rFonts w:cstheme="minorHAnsi"/>
        </w:rPr>
        <w:t>In response, ASIC noted that external stakeholders may not have access to all necessary information (for example, confidential breach reports and reports of misconduct) to enable an informed assessment of the accuracy or appropriateness of ASIC</w:t>
      </w:r>
      <w:r w:rsidR="00EF40B0">
        <w:rPr>
          <w:rFonts w:cstheme="minorHAnsi"/>
        </w:rPr>
        <w:t>’</w:t>
      </w:r>
      <w:r w:rsidRPr="00886B59">
        <w:rPr>
          <w:rFonts w:cstheme="minorHAnsi"/>
        </w:rPr>
        <w:t>s targeting of surveillances.</w:t>
      </w:r>
    </w:p>
    <w:p w14:paraId="4202D4E2" w14:textId="4D3B4DAE" w:rsidR="00A86C9E" w:rsidRPr="00886B59" w:rsidRDefault="00A86C9E" w:rsidP="00975036">
      <w:pPr>
        <w:pStyle w:val="numberedtext"/>
        <w:numPr>
          <w:ilvl w:val="0"/>
          <w:numId w:val="23"/>
        </w:numPr>
        <w:rPr>
          <w:rFonts w:cstheme="minorHAnsi"/>
        </w:rPr>
      </w:pPr>
      <w:r w:rsidRPr="00886B59">
        <w:rPr>
          <w:rFonts w:cstheme="minorHAnsi"/>
        </w:rPr>
        <w:t>The FRAA has not seen strong evidence to suggest that ASIC</w:t>
      </w:r>
      <w:r w:rsidR="00EF40B0">
        <w:rPr>
          <w:rFonts w:cstheme="minorHAnsi"/>
        </w:rPr>
        <w:t>’</w:t>
      </w:r>
      <w:r w:rsidRPr="00886B59">
        <w:rPr>
          <w:rFonts w:cstheme="minorHAnsi"/>
        </w:rPr>
        <w:t>s targeting of surveillances is inappropriate or misaligned with ASIC</w:t>
      </w:r>
      <w:r w:rsidR="00EF40B0">
        <w:rPr>
          <w:rFonts w:cstheme="minorHAnsi"/>
        </w:rPr>
        <w:t>’</w:t>
      </w:r>
      <w:r w:rsidRPr="00886B59">
        <w:rPr>
          <w:rFonts w:cstheme="minorHAnsi"/>
        </w:rPr>
        <w:t>s broader strategic priorities. The FRAA agrees with ASIC</w:t>
      </w:r>
      <w:r w:rsidR="00EF40B0">
        <w:rPr>
          <w:rFonts w:cstheme="minorHAnsi"/>
        </w:rPr>
        <w:t>’</w:t>
      </w:r>
      <w:r w:rsidRPr="00886B59">
        <w:rPr>
          <w:rFonts w:cstheme="minorHAnsi"/>
        </w:rPr>
        <w:t>s assessment that continued enhancement of its use of data and analytics is needed to refine the targeting and selection of surveillance activities</w:t>
      </w:r>
      <w:r w:rsidR="001A1CBE" w:rsidRPr="00886B59">
        <w:rPr>
          <w:rFonts w:cstheme="minorHAnsi"/>
        </w:rPr>
        <w:t xml:space="preserve">. </w:t>
      </w:r>
    </w:p>
    <w:p w14:paraId="01ADC469" w14:textId="77777777" w:rsidR="00A86C9E" w:rsidRPr="00D024EA" w:rsidRDefault="00A86C9E" w:rsidP="00D024EA">
      <w:pPr>
        <w:pStyle w:val="Heading4"/>
      </w:pPr>
      <w:r w:rsidRPr="00D024EA">
        <w:t>Management of regulatory impost</w:t>
      </w:r>
    </w:p>
    <w:p w14:paraId="0254AF9D" w14:textId="619637C9" w:rsidR="00A86C9E" w:rsidRPr="00886B59" w:rsidRDefault="00A86C9E" w:rsidP="00975036">
      <w:pPr>
        <w:pStyle w:val="numberedtext"/>
        <w:numPr>
          <w:ilvl w:val="0"/>
          <w:numId w:val="23"/>
        </w:numPr>
        <w:rPr>
          <w:rFonts w:cstheme="minorHAnsi"/>
        </w:rPr>
      </w:pPr>
      <w:r w:rsidRPr="00886B59">
        <w:rPr>
          <w:rFonts w:cstheme="minorHAnsi"/>
        </w:rPr>
        <w:t>Where practicable, ASIC</w:t>
      </w:r>
      <w:r w:rsidR="00EF40B0">
        <w:rPr>
          <w:rFonts w:cstheme="minorHAnsi"/>
        </w:rPr>
        <w:t>’</w:t>
      </w:r>
      <w:r w:rsidRPr="00886B59">
        <w:rPr>
          <w:rFonts w:cstheme="minorHAnsi"/>
        </w:rPr>
        <w:t>s surveillance activities should seek to limit regulatory impost on the sectors it regulates. Feedback on ASIC</w:t>
      </w:r>
      <w:r w:rsidR="00EF40B0">
        <w:rPr>
          <w:rFonts w:cstheme="minorHAnsi"/>
        </w:rPr>
        <w:t>’</w:t>
      </w:r>
      <w:r w:rsidRPr="00886B59">
        <w:rPr>
          <w:rFonts w:cstheme="minorHAnsi"/>
        </w:rPr>
        <w:t xml:space="preserve">s management of regulatory impost </w:t>
      </w:r>
      <w:r w:rsidR="0038625C">
        <w:rPr>
          <w:rFonts w:cstheme="minorHAnsi"/>
        </w:rPr>
        <w:t>during</w:t>
      </w:r>
      <w:r w:rsidRPr="00886B59">
        <w:rPr>
          <w:rFonts w:cstheme="minorHAnsi"/>
        </w:rPr>
        <w:t xml:space="preserve"> surveillances was mixed.</w:t>
      </w:r>
    </w:p>
    <w:p w14:paraId="05E1C7BF" w14:textId="603BD731" w:rsidR="00D01BD7" w:rsidRDefault="00A86C9E" w:rsidP="00975036">
      <w:pPr>
        <w:pStyle w:val="numberedtext"/>
        <w:numPr>
          <w:ilvl w:val="0"/>
          <w:numId w:val="23"/>
        </w:numPr>
        <w:rPr>
          <w:rFonts w:cstheme="minorHAnsi"/>
        </w:rPr>
      </w:pPr>
      <w:r w:rsidRPr="00886B59">
        <w:rPr>
          <w:rFonts w:cstheme="minorHAnsi"/>
        </w:rPr>
        <w:t xml:space="preserve">A number of industry stakeholders commented that they believed regulatory impost could be reduced through better scoped and more proportionate surveillances. This was echoed in the stakeholder survey where only 4% of </w:t>
      </w:r>
      <w:r w:rsidR="009107B6">
        <w:rPr>
          <w:rFonts w:cstheme="minorHAnsi"/>
        </w:rPr>
        <w:t>stakeholder</w:t>
      </w:r>
      <w:r w:rsidRPr="00886B59">
        <w:rPr>
          <w:rFonts w:cstheme="minorHAnsi"/>
        </w:rPr>
        <w:t xml:space="preserve"> survey respondents agreed that ASIC</w:t>
      </w:r>
      <w:r w:rsidR="00EF40B0">
        <w:rPr>
          <w:rFonts w:cstheme="minorHAnsi"/>
        </w:rPr>
        <w:t>’</w:t>
      </w:r>
      <w:r w:rsidRPr="00886B59">
        <w:rPr>
          <w:rFonts w:cstheme="minorHAnsi"/>
        </w:rPr>
        <w:t>s surveillances seek to minimise regulatory impost</w:t>
      </w:r>
      <w:r w:rsidR="00DF4F1B">
        <w:rPr>
          <w:rFonts w:cstheme="minorHAnsi"/>
        </w:rPr>
        <w:t>.</w:t>
      </w:r>
      <w:r w:rsidRPr="00886B59">
        <w:rPr>
          <w:rFonts w:cstheme="minorHAnsi"/>
          <w:vertAlign w:val="superscript"/>
        </w:rPr>
        <w:footnoteReference w:id="94"/>
      </w:r>
    </w:p>
    <w:p w14:paraId="72BB62BE" w14:textId="77777777" w:rsidR="00D01BD7" w:rsidRDefault="00D01BD7">
      <w:pPr>
        <w:spacing w:before="0" w:after="160" w:line="259" w:lineRule="auto"/>
        <w:rPr>
          <w:rFonts w:asciiTheme="minorHAnsi" w:eastAsiaTheme="minorHAnsi" w:hAnsiTheme="minorHAnsi" w:cstheme="minorHAnsi"/>
          <w:szCs w:val="22"/>
          <w:lang w:eastAsia="en-US"/>
        </w:rPr>
      </w:pPr>
      <w:r>
        <w:rPr>
          <w:rFonts w:cstheme="minorHAnsi"/>
        </w:rPr>
        <w:br w:type="page"/>
      </w:r>
    </w:p>
    <w:p w14:paraId="41B8AD38" w14:textId="5C92F546" w:rsidR="00A86C9E" w:rsidRPr="00886B59" w:rsidRDefault="00A86C9E" w:rsidP="00975036">
      <w:pPr>
        <w:pStyle w:val="numberedtext"/>
        <w:numPr>
          <w:ilvl w:val="0"/>
          <w:numId w:val="23"/>
        </w:numPr>
        <w:rPr>
          <w:rFonts w:cstheme="minorHAnsi"/>
        </w:rPr>
      </w:pPr>
      <w:r w:rsidRPr="00886B59">
        <w:rPr>
          <w:rFonts w:cstheme="minorHAnsi"/>
        </w:rPr>
        <w:lastRenderedPageBreak/>
        <w:t xml:space="preserve">Many submissions and </w:t>
      </w:r>
      <w:r w:rsidR="009107B6">
        <w:rPr>
          <w:rFonts w:cstheme="minorHAnsi"/>
        </w:rPr>
        <w:t>stakeholder</w:t>
      </w:r>
      <w:r w:rsidRPr="00886B59">
        <w:rPr>
          <w:rFonts w:cstheme="minorHAnsi"/>
        </w:rPr>
        <w:t xml:space="preserve"> survey respondents noted that they had received surveillance information requests they considered overly broad, issued without consultation or imposed unreasonable timeframes</w:t>
      </w:r>
      <w:r w:rsidR="00DF4F1B">
        <w:rPr>
          <w:rFonts w:cstheme="minorHAnsi"/>
        </w:rPr>
        <w:t>.</w:t>
      </w:r>
      <w:r w:rsidRPr="00886B59">
        <w:rPr>
          <w:rFonts w:cstheme="minorHAnsi"/>
          <w:vertAlign w:val="superscript"/>
        </w:rPr>
        <w:footnoteReference w:id="95"/>
      </w:r>
    </w:p>
    <w:p w14:paraId="64DA1074" w14:textId="0164E89F" w:rsidR="00A86C9E" w:rsidRDefault="00EF40B0" w:rsidP="0001492E">
      <w:pPr>
        <w:pStyle w:val="Quote"/>
      </w:pPr>
      <w:r>
        <w:t>‘</w:t>
      </w:r>
      <w:r w:rsidR="00A86C9E" w:rsidRPr="001E5E8F">
        <w:t>Some existing processes for collecting information from the regulated population, such as issuing notices that require large volumes of documents to be produced, are costly and inefficient.</w:t>
      </w:r>
      <w:r>
        <w:t>’</w:t>
      </w:r>
      <w:r w:rsidR="00A86C9E" w:rsidRPr="006B6EA3">
        <w:t xml:space="preserve"> </w:t>
      </w:r>
      <w:r w:rsidR="008017A1">
        <w:t xml:space="preserve">– </w:t>
      </w:r>
      <w:r w:rsidR="00A86C9E" w:rsidRPr="001E5E8F">
        <w:t>Public submission, Law Council</w:t>
      </w:r>
      <w:r w:rsidR="00A86C9E" w:rsidRPr="006B6EA3">
        <w:t xml:space="preserve"> </w:t>
      </w:r>
      <w:r w:rsidR="00A86C9E">
        <w:t>of Australia</w:t>
      </w:r>
    </w:p>
    <w:p w14:paraId="1CB60D55" w14:textId="20ADB5B6" w:rsidR="00A86C9E" w:rsidRPr="006B6EA3" w:rsidRDefault="00EF40B0" w:rsidP="0001492E">
      <w:pPr>
        <w:pStyle w:val="Quote"/>
      </w:pPr>
      <w:r>
        <w:t>‘</w:t>
      </w:r>
      <w:r w:rsidR="00A86C9E" w:rsidRPr="00E63435">
        <w:t xml:space="preserve">ASIC often imposes unreasonable timeframes to respond to their surveillance activities. Some of their </w:t>
      </w:r>
      <w:r w:rsidR="00A86C9E" w:rsidRPr="00F3366C">
        <w:t xml:space="preserve">RFIs </w:t>
      </w:r>
      <w:r w:rsidR="00024A55">
        <w:t>[</w:t>
      </w:r>
      <w:r w:rsidR="00A86C9E" w:rsidRPr="00F3366C">
        <w:t>requests for information</w:t>
      </w:r>
      <w:r w:rsidR="00024A55">
        <w:t>]</w:t>
      </w:r>
      <w:r w:rsidR="00A86C9E" w:rsidRPr="00E63435">
        <w:t xml:space="preserve"> are very extensive in nature and could be more targeted</w:t>
      </w:r>
      <w:r w:rsidR="00A86C9E">
        <w:t>.</w:t>
      </w:r>
      <w:r>
        <w:t>’</w:t>
      </w:r>
      <w:r w:rsidR="00A86C9E">
        <w:t xml:space="preserve"> </w:t>
      </w:r>
      <w:r w:rsidR="008017A1">
        <w:t xml:space="preserve">– </w:t>
      </w:r>
      <w:r w:rsidR="009107B6">
        <w:t>Stakeholder</w:t>
      </w:r>
      <w:r w:rsidR="00A86C9E">
        <w:t xml:space="preserve"> </w:t>
      </w:r>
      <w:r w:rsidR="008017A1">
        <w:t>s</w:t>
      </w:r>
      <w:r w:rsidR="00A86C9E">
        <w:t>urvey</w:t>
      </w:r>
    </w:p>
    <w:p w14:paraId="0F2A2B88" w14:textId="14F576F6" w:rsidR="00A86C9E" w:rsidRPr="006B6EA3" w:rsidRDefault="00EF40B0" w:rsidP="0001492E">
      <w:pPr>
        <w:pStyle w:val="Quote"/>
      </w:pPr>
      <w:r>
        <w:t>‘</w:t>
      </w:r>
      <w:r w:rsidR="00A86C9E" w:rsidRPr="001E5E8F">
        <w:t>There is still room to improve ASIC</w:t>
      </w:r>
      <w:r>
        <w:t>’</w:t>
      </w:r>
      <w:r w:rsidR="00A86C9E" w:rsidRPr="001E5E8F">
        <w:t xml:space="preserve">s requirements for data of participants under notice. ASIC has requested </w:t>
      </w:r>
      <w:r w:rsidR="00B474A9">
        <w:t xml:space="preserve">[a] </w:t>
      </w:r>
      <w:r w:rsidR="00A86C9E" w:rsidRPr="001E5E8F">
        <w:t>substantial volume of books and records from institutions in the past. It is likely that data requested has been larger than required.</w:t>
      </w:r>
      <w:r>
        <w:t>’</w:t>
      </w:r>
      <w:r w:rsidR="00A86C9E" w:rsidRPr="001E5E8F">
        <w:t xml:space="preserve"> </w:t>
      </w:r>
      <w:r w:rsidR="008017A1">
        <w:t xml:space="preserve">– </w:t>
      </w:r>
      <w:r w:rsidR="00A86C9E" w:rsidRPr="001E5E8F">
        <w:t xml:space="preserve">Public submission, </w:t>
      </w:r>
      <w:r w:rsidR="008017A1">
        <w:t>c</w:t>
      </w:r>
      <w:r w:rsidR="00A86C9E" w:rsidRPr="001E5E8F">
        <w:t>onfidential</w:t>
      </w:r>
    </w:p>
    <w:p w14:paraId="5FD4B5FA" w14:textId="77777777" w:rsidR="00A86C9E" w:rsidRPr="00886B59" w:rsidRDefault="00A86C9E" w:rsidP="00975036">
      <w:pPr>
        <w:pStyle w:val="numberedtext"/>
        <w:numPr>
          <w:ilvl w:val="0"/>
          <w:numId w:val="23"/>
        </w:numPr>
        <w:rPr>
          <w:rFonts w:cstheme="minorHAnsi"/>
        </w:rPr>
      </w:pPr>
      <w:r w:rsidRPr="00886B59">
        <w:rPr>
          <w:rFonts w:cstheme="minorHAnsi"/>
        </w:rPr>
        <w:t>Other stakeholders acknowledged that ASIC does take steps to reduce the regulatory impost placed on its regulated population. For example, some submissions spoke positively of instances of early engagement to refine the scope of surveillances, the provision of draft statutory notices for feedback and discussions regarding response timeframes.</w:t>
      </w:r>
      <w:r w:rsidRPr="00886B59">
        <w:t xml:space="preserve"> </w:t>
      </w:r>
    </w:p>
    <w:p w14:paraId="7E563326" w14:textId="29169727" w:rsidR="00A86C9E" w:rsidRPr="00F7690E" w:rsidRDefault="00EF40B0" w:rsidP="0001492E">
      <w:pPr>
        <w:pStyle w:val="Quote"/>
      </w:pPr>
      <w:r>
        <w:t>‘</w:t>
      </w:r>
      <w:r w:rsidR="00A86C9E" w:rsidRPr="00F7690E">
        <w:t xml:space="preserve">[ASIC is </w:t>
      </w:r>
      <w:r w:rsidR="00A86C9E" w:rsidRPr="0055673D">
        <w:t>commended</w:t>
      </w:r>
      <w:r w:rsidR="00A86C9E" w:rsidRPr="001011C0">
        <w:t xml:space="preserve"> </w:t>
      </w:r>
      <w:r w:rsidR="00A86C9E" w:rsidRPr="00F7690E">
        <w:t xml:space="preserve">for] instances where ASIC has engaged with entities before notices are issued, </w:t>
      </w:r>
      <w:r w:rsidR="00A86C9E" w:rsidRPr="00072B0C">
        <w:t>particularly</w:t>
      </w:r>
      <w:r w:rsidR="00A86C9E" w:rsidRPr="00F7690E">
        <w:t xml:space="preserve"> for new data requests. This can avoid a significant amount of work for companies.</w:t>
      </w:r>
      <w:r>
        <w:t>’</w:t>
      </w:r>
      <w:r w:rsidR="00A86C9E" w:rsidRPr="00F7690E">
        <w:t xml:space="preserve"> </w:t>
      </w:r>
      <w:r w:rsidR="008017A1">
        <w:t xml:space="preserve">– </w:t>
      </w:r>
      <w:r w:rsidR="00A86C9E" w:rsidRPr="00F7690E">
        <w:t xml:space="preserve">Public submission, </w:t>
      </w:r>
      <w:r w:rsidR="008017A1">
        <w:t>c</w:t>
      </w:r>
      <w:r w:rsidR="00A86C9E" w:rsidRPr="00F7690E">
        <w:t>onfidential</w:t>
      </w:r>
    </w:p>
    <w:p w14:paraId="4BF53842" w14:textId="3BD70F1C" w:rsidR="00A86C9E" w:rsidRPr="004D5C23" w:rsidRDefault="00EF40B0" w:rsidP="0001492E">
      <w:pPr>
        <w:pStyle w:val="Quote"/>
      </w:pPr>
      <w:r>
        <w:t>‘</w:t>
      </w:r>
      <w:r w:rsidR="00A86C9E" w:rsidRPr="00F7690E">
        <w:t>A recent example [of ASIC engaging with entities prior to issuing notices] was ASIC</w:t>
      </w:r>
      <w:r>
        <w:t>’</w:t>
      </w:r>
      <w:r w:rsidR="00A86C9E" w:rsidRPr="00F7690E">
        <w:t xml:space="preserve">s engagement with entities on group offsets resulting in members being able to understand the final </w:t>
      </w:r>
      <w:r w:rsidR="00A86C9E" w:rsidRPr="004D5C23">
        <w:t>notice</w:t>
      </w:r>
      <w:r w:rsidR="00A86C9E" w:rsidRPr="00F7690E">
        <w:t xml:space="preserve"> before it was issued. This reduced the effort required from stakeholders whilst ensuring ASIC received relevant data in a timely fashion.</w:t>
      </w:r>
      <w:r>
        <w:t>’</w:t>
      </w:r>
      <w:r w:rsidR="00A86C9E" w:rsidRPr="005A112E">
        <w:t xml:space="preserve"> </w:t>
      </w:r>
      <w:r w:rsidR="008017A1">
        <w:t xml:space="preserve">– </w:t>
      </w:r>
      <w:r w:rsidR="00A86C9E" w:rsidRPr="00F7690E">
        <w:t xml:space="preserve">Public submission, </w:t>
      </w:r>
      <w:r w:rsidR="008017A1">
        <w:t>c</w:t>
      </w:r>
      <w:r w:rsidR="00A86C9E" w:rsidRPr="00F7690E">
        <w:t>onfidential</w:t>
      </w:r>
    </w:p>
    <w:p w14:paraId="197C14C5" w14:textId="77777777" w:rsidR="00A86C9E" w:rsidRPr="00886B59" w:rsidRDefault="00A86C9E" w:rsidP="00975036">
      <w:pPr>
        <w:pStyle w:val="numberedtext"/>
        <w:numPr>
          <w:ilvl w:val="0"/>
          <w:numId w:val="23"/>
        </w:numPr>
        <w:rPr>
          <w:rFonts w:cstheme="minorHAnsi"/>
        </w:rPr>
      </w:pPr>
      <w:bookmarkStart w:id="98" w:name="_Ref110262603"/>
      <w:r w:rsidRPr="00886B59">
        <w:rPr>
          <w:rFonts w:cstheme="minorHAnsi"/>
        </w:rPr>
        <w:t>In response to concerns regarding regulatory impost, ASIC identified several mechanisms and initiatives designed to reduce impost and drive greater efficiency, including:</w:t>
      </w:r>
      <w:bookmarkEnd w:id="98"/>
    </w:p>
    <w:p w14:paraId="48358668" w14:textId="6881C3F4" w:rsidR="00A86C9E" w:rsidRPr="00755642" w:rsidRDefault="00A86C9E" w:rsidP="00923A66">
      <w:pPr>
        <w:pStyle w:val="Bullet"/>
      </w:pPr>
      <w:r>
        <w:rPr>
          <w:b/>
        </w:rPr>
        <w:t>Notice sign</w:t>
      </w:r>
      <w:r w:rsidR="00EF40B0">
        <w:rPr>
          <w:b/>
        </w:rPr>
        <w:noBreakHyphen/>
      </w:r>
      <w:r>
        <w:rPr>
          <w:b/>
        </w:rPr>
        <w:t xml:space="preserve">off procedure: </w:t>
      </w:r>
      <w:r>
        <w:rPr>
          <w:bCs/>
        </w:rPr>
        <w:t>e</w:t>
      </w:r>
      <w:r w:rsidRPr="00755642">
        <w:t>ach information</w:t>
      </w:r>
      <w:r w:rsidR="00EF40B0">
        <w:noBreakHyphen/>
      </w:r>
      <w:r w:rsidRPr="00755642">
        <w:t>gathering</w:t>
      </w:r>
      <w:r>
        <w:t xml:space="preserve"> notice</w:t>
      </w:r>
      <w:r w:rsidRPr="00755642">
        <w:t xml:space="preserve"> undergoes a sign</w:t>
      </w:r>
      <w:r w:rsidR="00EF40B0">
        <w:noBreakHyphen/>
      </w:r>
      <w:r w:rsidRPr="00755642">
        <w:t>off process</w:t>
      </w:r>
      <w:r>
        <w:t>,</w:t>
      </w:r>
      <w:r w:rsidRPr="00755642">
        <w:t xml:space="preserve"> includ</w:t>
      </w:r>
      <w:r>
        <w:t>ing</w:t>
      </w:r>
      <w:r w:rsidRPr="00755642">
        <w:t xml:space="preserve"> an</w:t>
      </w:r>
      <w:r w:rsidRPr="00B7392A">
        <w:t xml:space="preserve"> assessment of alternative methods of </w:t>
      </w:r>
      <w:r>
        <w:t>collection</w:t>
      </w:r>
      <w:r w:rsidR="007D5DA5">
        <w:t>,</w:t>
      </w:r>
      <w:r>
        <w:t xml:space="preserve"> and </w:t>
      </w:r>
      <w:r w:rsidRPr="006A558E">
        <w:rPr>
          <w:bCs/>
        </w:rPr>
        <w:t>v</w:t>
      </w:r>
      <w:r w:rsidRPr="00BB342A">
        <w:rPr>
          <w:bCs/>
        </w:rPr>
        <w:t xml:space="preserve">erification </w:t>
      </w:r>
      <w:r>
        <w:rPr>
          <w:bCs/>
        </w:rPr>
        <w:t>of the appropriateness of the notice scope</w:t>
      </w:r>
      <w:r w:rsidRPr="006A558E">
        <w:rPr>
          <w:bCs/>
        </w:rPr>
        <w:t>.</w:t>
      </w:r>
      <w:r w:rsidRPr="00A328E6">
        <w:rPr>
          <w:rStyle w:val="FootnoteReference"/>
          <w:rFonts w:asciiTheme="minorHAnsi" w:eastAsiaTheme="minorEastAsia" w:hAnsiTheme="minorHAnsi" w:cstheme="minorBidi"/>
          <w:lang w:eastAsia="en-US"/>
        </w:rPr>
        <w:t xml:space="preserve"> </w:t>
      </w:r>
      <w:r w:rsidRPr="008C7B71">
        <w:rPr>
          <w:rStyle w:val="FootnoteReference"/>
          <w:rFonts w:asciiTheme="minorHAnsi" w:eastAsiaTheme="minorEastAsia" w:hAnsiTheme="minorHAnsi" w:cstheme="minorBidi"/>
          <w:lang w:eastAsia="en-US"/>
        </w:rPr>
        <w:footnoteReference w:id="96"/>
      </w:r>
      <w:r w:rsidRPr="006A558E">
        <w:rPr>
          <w:bCs/>
        </w:rPr>
        <w:t xml:space="preserve"> ASIC</w:t>
      </w:r>
      <w:r w:rsidR="00EF40B0">
        <w:rPr>
          <w:bCs/>
        </w:rPr>
        <w:t>’</w:t>
      </w:r>
      <w:r w:rsidRPr="006A558E">
        <w:rPr>
          <w:bCs/>
        </w:rPr>
        <w:t xml:space="preserve">s Internal Audit team examined </w:t>
      </w:r>
      <w:r>
        <w:rPr>
          <w:bCs/>
        </w:rPr>
        <w:t>the</w:t>
      </w:r>
      <w:r w:rsidRPr="006A558E">
        <w:rPr>
          <w:bCs/>
        </w:rPr>
        <w:t xml:space="preserve"> use of </w:t>
      </w:r>
      <w:r w:rsidRPr="00BB342A">
        <w:rPr>
          <w:bCs/>
        </w:rPr>
        <w:t>notices in 2020</w:t>
      </w:r>
      <w:r w:rsidRPr="006C6AE5">
        <w:t xml:space="preserve"> </w:t>
      </w:r>
      <w:r>
        <w:rPr>
          <w:bCs/>
        </w:rPr>
        <w:t>and found</w:t>
      </w:r>
      <w:r w:rsidRPr="006A558E">
        <w:rPr>
          <w:bCs/>
        </w:rPr>
        <w:t xml:space="preserve"> that approval </w:t>
      </w:r>
      <w:r>
        <w:rPr>
          <w:bCs/>
        </w:rPr>
        <w:t>was</w:t>
      </w:r>
      <w:r w:rsidRPr="00755642">
        <w:t xml:space="preserve"> occurring</w:t>
      </w:r>
      <w:r>
        <w:t xml:space="preserve"> in </w:t>
      </w:r>
      <w:r w:rsidRPr="00923A66">
        <w:t>accordance</w:t>
      </w:r>
      <w:r>
        <w:t xml:space="preserve"> with</w:t>
      </w:r>
      <w:r w:rsidRPr="00755642">
        <w:t xml:space="preserve"> the policy</w:t>
      </w:r>
      <w:r>
        <w:t>.</w:t>
      </w:r>
    </w:p>
    <w:p w14:paraId="48723081" w14:textId="7A7405E4" w:rsidR="00A86C9E" w:rsidRPr="004D5C23" w:rsidRDefault="00A86C9E" w:rsidP="00923A66">
      <w:pPr>
        <w:pStyle w:val="Bullet"/>
        <w:rPr>
          <w:b/>
        </w:rPr>
      </w:pPr>
      <w:r>
        <w:rPr>
          <w:b/>
        </w:rPr>
        <w:t xml:space="preserve">CRM </w:t>
      </w:r>
      <w:r w:rsidR="0087694D">
        <w:rPr>
          <w:b/>
        </w:rPr>
        <w:t>system</w:t>
      </w:r>
      <w:r>
        <w:rPr>
          <w:b/>
        </w:rPr>
        <w:t xml:space="preserve"> implementation: </w:t>
      </w:r>
      <w:r>
        <w:t>t</w:t>
      </w:r>
      <w:r w:rsidRPr="00B7392A">
        <w:t xml:space="preserve">he CRM </w:t>
      </w:r>
      <w:r w:rsidR="00E36692">
        <w:t xml:space="preserve">system </w:t>
      </w:r>
      <w:r w:rsidRPr="00B7392A">
        <w:t>is</w:t>
      </w:r>
      <w:r>
        <w:t xml:space="preserve"> designed</w:t>
      </w:r>
      <w:r w:rsidRPr="00B7392A">
        <w:t xml:space="preserve"> to record compulsory requests for information, </w:t>
      </w:r>
      <w:r>
        <w:t>allowing</w:t>
      </w:r>
      <w:r>
        <w:rPr>
          <w:bCs/>
        </w:rPr>
        <w:t xml:space="preserve"> ASIC staff</w:t>
      </w:r>
      <w:r w:rsidRPr="00755642">
        <w:t xml:space="preserve"> to view all interactions </w:t>
      </w:r>
      <w:r w:rsidRPr="00923A66">
        <w:t>with</w:t>
      </w:r>
      <w:r w:rsidRPr="00755642">
        <w:t xml:space="preserve"> a</w:t>
      </w:r>
      <w:r>
        <w:t xml:space="preserve">n </w:t>
      </w:r>
      <w:r w:rsidRPr="00755642">
        <w:t>entity in a single location</w:t>
      </w:r>
      <w:r>
        <w:t xml:space="preserve"> and assess</w:t>
      </w:r>
      <w:r w:rsidRPr="00755642">
        <w:t xml:space="preserve"> whether the same or similar information </w:t>
      </w:r>
      <w:r>
        <w:t>is</w:t>
      </w:r>
      <w:r w:rsidRPr="00755642">
        <w:t xml:space="preserve"> already </w:t>
      </w:r>
      <w:r>
        <w:t>available</w:t>
      </w:r>
      <w:r w:rsidRPr="00755642">
        <w:t xml:space="preserve">. However, </w:t>
      </w:r>
      <w:r>
        <w:t>ASIC</w:t>
      </w:r>
      <w:r w:rsidRPr="00755642">
        <w:t xml:space="preserve"> staff </w:t>
      </w:r>
      <w:r w:rsidR="0055216E">
        <w:t>members</w:t>
      </w:r>
      <w:r w:rsidRPr="00755642">
        <w:t xml:space="preserve"> who provided feedback regarding their experience with the CRM </w:t>
      </w:r>
      <w:r w:rsidR="00E36692">
        <w:t xml:space="preserve">system </w:t>
      </w:r>
      <w:r w:rsidRPr="00755642">
        <w:t>conveyed a largely negative sentiment.</w:t>
      </w:r>
      <w:r w:rsidRPr="00CE1861">
        <w:rPr>
          <w:b/>
        </w:rPr>
        <w:t xml:space="preserve"> </w:t>
      </w:r>
    </w:p>
    <w:p w14:paraId="5FBB8DD8" w14:textId="2EA5BD98" w:rsidR="00A86C9E" w:rsidRPr="00755642" w:rsidRDefault="00A86C9E" w:rsidP="00923A66">
      <w:pPr>
        <w:pStyle w:val="Bullet"/>
      </w:pPr>
      <w:r>
        <w:rPr>
          <w:b/>
        </w:rPr>
        <w:t>Regulatory Efficiency Unit initiatives:</w:t>
      </w:r>
      <w:r w:rsidRPr="00755642">
        <w:t xml:space="preserve"> </w:t>
      </w:r>
      <w:r>
        <w:t xml:space="preserve">in </w:t>
      </w:r>
      <w:r w:rsidR="00440E13">
        <w:t>20</w:t>
      </w:r>
      <w:r>
        <w:t>22</w:t>
      </w:r>
      <w:r w:rsidR="00D14688">
        <w:t>–</w:t>
      </w:r>
      <w:r>
        <w:t xml:space="preserve">23 the </w:t>
      </w:r>
      <w:r w:rsidRPr="00923A66">
        <w:t>Regulatory</w:t>
      </w:r>
      <w:r w:rsidRPr="00432106">
        <w:t xml:space="preserve"> Efficiency Unit </w:t>
      </w:r>
      <w:r>
        <w:t>will examine</w:t>
      </w:r>
      <w:r w:rsidRPr="00755642">
        <w:t xml:space="preserve"> </w:t>
      </w:r>
      <w:r>
        <w:t>how</w:t>
      </w:r>
      <w:r w:rsidRPr="00755642">
        <w:t xml:space="preserve"> to improve </w:t>
      </w:r>
      <w:r>
        <w:t>ASIC</w:t>
      </w:r>
      <w:r w:rsidR="00EF40B0">
        <w:t>’</w:t>
      </w:r>
      <w:r>
        <w:t>s</w:t>
      </w:r>
      <w:r w:rsidRPr="00755642">
        <w:t xml:space="preserve"> use</w:t>
      </w:r>
      <w:r>
        <w:t xml:space="preserve"> of</w:t>
      </w:r>
      <w:r w:rsidRPr="00755642">
        <w:t xml:space="preserve"> </w:t>
      </w:r>
      <w:r>
        <w:t>it</w:t>
      </w:r>
      <w:r w:rsidRPr="00B7392A">
        <w:t>s information</w:t>
      </w:r>
      <w:r w:rsidR="00EF40B0">
        <w:noBreakHyphen/>
      </w:r>
      <w:r w:rsidRPr="00B7392A">
        <w:t>gathering powers</w:t>
      </w:r>
      <w:r>
        <w:t xml:space="preserve"> (refer</w:t>
      </w:r>
      <w:r w:rsidR="00B80D01">
        <w:t xml:space="preserve"> </w:t>
      </w:r>
      <w:r w:rsidR="009439A9">
        <w:t>paragraph </w:t>
      </w:r>
      <w:r w:rsidR="00A6032A">
        <w:t>3.56</w:t>
      </w:r>
      <w:r>
        <w:t>)</w:t>
      </w:r>
      <w:r w:rsidRPr="00B7392A">
        <w:t xml:space="preserve">. </w:t>
      </w:r>
    </w:p>
    <w:p w14:paraId="393D6E29" w14:textId="7A54AE5E" w:rsidR="00A86C9E" w:rsidRPr="00886B59" w:rsidRDefault="00A86C9E" w:rsidP="00975036">
      <w:pPr>
        <w:pStyle w:val="numberedtext"/>
        <w:numPr>
          <w:ilvl w:val="0"/>
          <w:numId w:val="23"/>
        </w:numPr>
        <w:rPr>
          <w:rFonts w:cstheme="minorHAnsi"/>
        </w:rPr>
      </w:pPr>
      <w:r w:rsidRPr="00886B59">
        <w:rPr>
          <w:rFonts w:cstheme="minorHAnsi"/>
        </w:rPr>
        <w:lastRenderedPageBreak/>
        <w:t xml:space="preserve">The FRAA notes that despite the implementation of the CRM </w:t>
      </w:r>
      <w:r w:rsidR="00DA2D6F">
        <w:rPr>
          <w:rFonts w:cstheme="minorHAnsi"/>
        </w:rPr>
        <w:t xml:space="preserve">system </w:t>
      </w:r>
      <w:r w:rsidRPr="00886B59">
        <w:rPr>
          <w:rFonts w:cstheme="minorHAnsi"/>
        </w:rPr>
        <w:t>and operation of the notice sign</w:t>
      </w:r>
      <w:r w:rsidR="00EF40B0">
        <w:rPr>
          <w:rFonts w:cstheme="minorHAnsi"/>
        </w:rPr>
        <w:noBreakHyphen/>
      </w:r>
      <w:r w:rsidRPr="00886B59">
        <w:rPr>
          <w:rFonts w:cstheme="minorHAnsi"/>
        </w:rPr>
        <w:t>off procedure, a significant volume of negative feedback was received concerning information requests.</w:t>
      </w:r>
    </w:p>
    <w:p w14:paraId="04B7FACF" w14:textId="4D5EEDFF" w:rsidR="00A86C9E" w:rsidRPr="00886B59" w:rsidRDefault="00A86C9E" w:rsidP="00975036">
      <w:pPr>
        <w:pStyle w:val="numberedtext"/>
        <w:numPr>
          <w:ilvl w:val="0"/>
          <w:numId w:val="23"/>
        </w:numPr>
        <w:rPr>
          <w:rFonts w:cstheme="minorHAnsi"/>
        </w:rPr>
      </w:pPr>
      <w:r w:rsidRPr="00886B59">
        <w:rPr>
          <w:rFonts w:cstheme="minorHAnsi"/>
        </w:rPr>
        <w:t>ASIC suggested several factors it believes may contribute to a high regulatory impost on notice recipients:</w:t>
      </w:r>
    </w:p>
    <w:p w14:paraId="211D777F" w14:textId="329F47DF" w:rsidR="00A86C9E" w:rsidRDefault="003F2DDE" w:rsidP="00923A66">
      <w:pPr>
        <w:pStyle w:val="Bullet"/>
      </w:pPr>
      <w:r>
        <w:t>r</w:t>
      </w:r>
      <w:r w:rsidR="00A86C9E">
        <w:t>ecipients may be inhibited by</w:t>
      </w:r>
      <w:r w:rsidR="00A86C9E" w:rsidRPr="000172C9">
        <w:t xml:space="preserve"> poor internal systems or </w:t>
      </w:r>
      <w:r w:rsidR="00A86C9E">
        <w:t xml:space="preserve">the </w:t>
      </w:r>
      <w:r w:rsidR="00A86C9E" w:rsidRPr="00923A66">
        <w:t>need</w:t>
      </w:r>
      <w:r w:rsidR="00A86C9E" w:rsidRPr="000172C9">
        <w:t xml:space="preserve"> to access legacy systems</w:t>
      </w:r>
    </w:p>
    <w:p w14:paraId="027E01A2" w14:textId="0F8E83DE" w:rsidR="00A86C9E" w:rsidRDefault="00A86C9E" w:rsidP="00923A66">
      <w:pPr>
        <w:pStyle w:val="Bullet"/>
      </w:pPr>
      <w:r w:rsidRPr="000172C9">
        <w:t>ASIC</w:t>
      </w:r>
      <w:r>
        <w:t xml:space="preserve"> may have to collect</w:t>
      </w:r>
      <w:r w:rsidRPr="000172C9">
        <w:t xml:space="preserve"> </w:t>
      </w:r>
      <w:r>
        <w:t>data</w:t>
      </w:r>
      <w:r w:rsidRPr="000172C9">
        <w:t xml:space="preserve"> in a particular </w:t>
      </w:r>
      <w:r>
        <w:t>format</w:t>
      </w:r>
    </w:p>
    <w:p w14:paraId="371143B2" w14:textId="45C075F7" w:rsidR="00A86C9E" w:rsidRDefault="003F2DDE" w:rsidP="00923A66">
      <w:pPr>
        <w:pStyle w:val="Bullet"/>
      </w:pPr>
      <w:r>
        <w:t>d</w:t>
      </w:r>
      <w:r w:rsidR="00A86C9E">
        <w:t>uplicated</w:t>
      </w:r>
      <w:r w:rsidR="00944A4D">
        <w:t>/overlapping</w:t>
      </w:r>
      <w:r w:rsidR="00A86C9E" w:rsidRPr="002175B6">
        <w:t xml:space="preserve"> information requests</w:t>
      </w:r>
      <w:r w:rsidR="00A86C9E">
        <w:t xml:space="preserve"> may occur when </w:t>
      </w:r>
      <w:r w:rsidR="00A86C9E" w:rsidRPr="002175B6">
        <w:t xml:space="preserve">a supervisory team has issued an initial notice about a matter, and then referred the matter to </w:t>
      </w:r>
      <w:r w:rsidR="00A86C9E">
        <w:t>e</w:t>
      </w:r>
      <w:r w:rsidR="00A86C9E" w:rsidRPr="002175B6">
        <w:t>nforcement teams</w:t>
      </w:r>
      <w:r w:rsidR="00A86C9E">
        <w:t>.</w:t>
      </w:r>
      <w:r w:rsidR="00A86C9E" w:rsidRPr="00ED6802">
        <w:rPr>
          <w:rStyle w:val="FootnoteReference"/>
        </w:rPr>
        <w:footnoteReference w:id="97"/>
      </w:r>
      <w:r w:rsidR="00A86C9E" w:rsidRPr="002175B6">
        <w:t xml:space="preserve"> </w:t>
      </w:r>
    </w:p>
    <w:p w14:paraId="2C5EE513" w14:textId="77777777" w:rsidR="00A86C9E" w:rsidRPr="00886B59" w:rsidRDefault="00A86C9E" w:rsidP="00975036">
      <w:pPr>
        <w:pStyle w:val="numberedtext"/>
        <w:numPr>
          <w:ilvl w:val="0"/>
          <w:numId w:val="23"/>
        </w:numPr>
        <w:rPr>
          <w:rFonts w:cstheme="minorHAnsi"/>
        </w:rPr>
      </w:pPr>
      <w:r w:rsidRPr="00886B59">
        <w:rPr>
          <w:rFonts w:cstheme="minorHAnsi"/>
        </w:rPr>
        <w:t>The FRAA considers that ASIC can further reduce regulatory impost through the improved scoping of notices and information requests, as well as enhanced engagement with notice recipients prior to issue.</w:t>
      </w:r>
    </w:p>
    <w:p w14:paraId="4F86D97A" w14:textId="77777777" w:rsidR="00A86C9E" w:rsidRPr="00D024EA" w:rsidRDefault="00A86C9E" w:rsidP="00D024EA">
      <w:pPr>
        <w:pStyle w:val="Heading4"/>
      </w:pPr>
      <w:r w:rsidRPr="00D024EA">
        <w:t>Collaboration with other regulators</w:t>
      </w:r>
    </w:p>
    <w:p w14:paraId="0351F36B" w14:textId="624567A9" w:rsidR="00A86C9E" w:rsidRPr="00886B59" w:rsidRDefault="00A86C9E" w:rsidP="00975036">
      <w:pPr>
        <w:pStyle w:val="numberedtext"/>
        <w:numPr>
          <w:ilvl w:val="0"/>
          <w:numId w:val="23"/>
        </w:numPr>
        <w:rPr>
          <w:rFonts w:cstheme="minorHAnsi"/>
        </w:rPr>
      </w:pPr>
      <w:r w:rsidRPr="00886B59">
        <w:rPr>
          <w:rFonts w:cstheme="minorHAnsi"/>
        </w:rPr>
        <w:t xml:space="preserve">Only 11% of </w:t>
      </w:r>
      <w:r w:rsidR="009107B6">
        <w:rPr>
          <w:rFonts w:cstheme="minorHAnsi"/>
        </w:rPr>
        <w:t>stakeholder</w:t>
      </w:r>
      <w:r w:rsidRPr="00886B59">
        <w:rPr>
          <w:rFonts w:cstheme="minorHAnsi"/>
        </w:rPr>
        <w:t xml:space="preserve"> survey respondents agreed that when conducting surveillance, there is effective coordination between ASIC and other Australian regulators such as APRA and the ACCC.</w:t>
      </w:r>
      <w:r w:rsidRPr="00886B59" w:rsidDel="00832AB0">
        <w:rPr>
          <w:vertAlign w:val="superscript"/>
        </w:rPr>
        <w:footnoteReference w:id="98"/>
      </w:r>
      <w:r w:rsidRPr="00886B59">
        <w:rPr>
          <w:rFonts w:cstheme="minorHAnsi"/>
          <w:vertAlign w:val="superscript"/>
        </w:rPr>
        <w:t xml:space="preserve"> </w:t>
      </w:r>
      <w:r w:rsidRPr="00886B59">
        <w:rPr>
          <w:rFonts w:cstheme="minorHAnsi"/>
        </w:rPr>
        <w:t>This sentiment was similarly expressed in public submissions.</w:t>
      </w:r>
    </w:p>
    <w:p w14:paraId="79F3F808" w14:textId="433A0180" w:rsidR="00A86C9E" w:rsidRPr="005A112E" w:rsidRDefault="00EF40B0" w:rsidP="0001492E">
      <w:pPr>
        <w:pStyle w:val="Quote"/>
      </w:pPr>
      <w:r>
        <w:t>‘</w:t>
      </w:r>
      <w:r w:rsidR="00A86C9E" w:rsidRPr="00F7690E">
        <w:t>The FRAA</w:t>
      </w:r>
      <w:r>
        <w:t>’</w:t>
      </w:r>
      <w:r w:rsidR="00A86C9E" w:rsidRPr="00F7690E">
        <w:t xml:space="preserve">s assessment should take into account the apparent lack of communication and </w:t>
      </w:r>
      <w:r w:rsidR="00A86C9E" w:rsidRPr="005B46AB">
        <w:t>coordination</w:t>
      </w:r>
      <w:r w:rsidR="00A86C9E" w:rsidRPr="00F7690E">
        <w:t xml:space="preserve"> between ASIC and APRA in making information requests</w:t>
      </w:r>
      <w:r w:rsidR="00A86C9E">
        <w:t>.</w:t>
      </w:r>
      <w:r>
        <w:t>’</w:t>
      </w:r>
      <w:r w:rsidR="00A86C9E" w:rsidRPr="00F7690E">
        <w:t xml:space="preserve"> </w:t>
      </w:r>
      <w:r w:rsidR="003F2DDE">
        <w:t xml:space="preserve">– </w:t>
      </w:r>
      <w:r w:rsidR="00A86C9E" w:rsidRPr="00F7690E">
        <w:t xml:space="preserve">Public submission, </w:t>
      </w:r>
      <w:r w:rsidR="003F2DDE">
        <w:t>c</w:t>
      </w:r>
      <w:r w:rsidR="00A86C9E" w:rsidRPr="00F7690E">
        <w:t>onfidential</w:t>
      </w:r>
    </w:p>
    <w:p w14:paraId="1F7F3289" w14:textId="66D0F919" w:rsidR="00A86C9E" w:rsidRPr="005A112E" w:rsidRDefault="00EF40B0" w:rsidP="0001492E">
      <w:pPr>
        <w:pStyle w:val="Quote"/>
      </w:pPr>
      <w:r>
        <w:t>‘</w:t>
      </w:r>
      <w:r w:rsidR="00A86C9E" w:rsidRPr="00F7690E">
        <w:t>The corresponding regulatory load on industry from ASIC</w:t>
      </w:r>
      <w:r>
        <w:t>’</w:t>
      </w:r>
      <w:r w:rsidR="00A86C9E" w:rsidRPr="00F7690E">
        <w:t>s data activities has never been greater</w:t>
      </w:r>
      <w:r>
        <w:t>’</w:t>
      </w:r>
      <w:r w:rsidR="00A86C9E" w:rsidRPr="00F7690E">
        <w:t xml:space="preserve">, </w:t>
      </w:r>
      <w:r>
        <w:t>‘</w:t>
      </w:r>
      <w:r w:rsidR="00A86C9E" w:rsidRPr="00F7690E">
        <w:t xml:space="preserve">duplication of requests received from regulators with slight variations (due to different </w:t>
      </w:r>
      <w:r w:rsidR="00A86C9E" w:rsidRPr="005B46AB">
        <w:t>mandates</w:t>
      </w:r>
      <w:r w:rsidR="00A86C9E" w:rsidRPr="00F7690E">
        <w:t>) is a substantial concern and more efficient management of data and information across all of the key 6 national regulators should be a priority</w:t>
      </w:r>
      <w:r w:rsidR="00A86C9E">
        <w:t>.</w:t>
      </w:r>
      <w:r>
        <w:t>’</w:t>
      </w:r>
      <w:r w:rsidR="00A86C9E" w:rsidRPr="00F7690E">
        <w:t xml:space="preserve"> </w:t>
      </w:r>
      <w:r w:rsidR="003F2DDE">
        <w:t xml:space="preserve">– </w:t>
      </w:r>
      <w:r w:rsidR="00A86C9E" w:rsidRPr="00F7690E">
        <w:t>Public submission,</w:t>
      </w:r>
      <w:r w:rsidR="00A86C9E">
        <w:rPr>
          <w:rFonts w:cstheme="minorHAnsi"/>
        </w:rPr>
        <w:t xml:space="preserve"> </w:t>
      </w:r>
      <w:r w:rsidR="003F2DDE">
        <w:t>c</w:t>
      </w:r>
      <w:r w:rsidR="00A86C9E" w:rsidRPr="00F7690E">
        <w:t>onfidential</w:t>
      </w:r>
    </w:p>
    <w:p w14:paraId="6DC28443" w14:textId="5D226C1F" w:rsidR="00A86C9E" w:rsidRPr="005A112E" w:rsidRDefault="00EF40B0" w:rsidP="0001492E">
      <w:pPr>
        <w:pStyle w:val="Quote"/>
      </w:pPr>
      <w:r>
        <w:t>‘</w:t>
      </w:r>
      <w:r w:rsidR="00A86C9E" w:rsidRPr="00F7690E">
        <w:t xml:space="preserve">Received </w:t>
      </w:r>
      <w:r w:rsidR="00A86C9E" w:rsidRPr="005B46AB">
        <w:t>requests</w:t>
      </w:r>
      <w:r w:rsidR="00A86C9E" w:rsidRPr="00F7690E">
        <w:t xml:space="preserve"> coincided with requests from other regulators in addition to ASIC, with the regulators asking for the same information in different ways, and often within highly compressed timeframes and under more than one notice. Our members have informed us that preparing their responses took a considerable amount of time and energy</w:t>
      </w:r>
      <w:r w:rsidR="00A86C9E">
        <w:t>.</w:t>
      </w:r>
      <w:r>
        <w:t>’</w:t>
      </w:r>
      <w:r w:rsidR="00A86C9E" w:rsidRPr="00F7690E">
        <w:t xml:space="preserve"> </w:t>
      </w:r>
      <w:r w:rsidR="003F2DDE">
        <w:t xml:space="preserve">– </w:t>
      </w:r>
      <w:r w:rsidR="00A86C9E" w:rsidRPr="00F7690E">
        <w:t xml:space="preserve">Public submission, Insurance Council </w:t>
      </w:r>
      <w:r w:rsidR="00A86C9E">
        <w:t xml:space="preserve">of </w:t>
      </w:r>
      <w:r w:rsidR="00A86C9E" w:rsidRPr="00F7690E">
        <w:t>Australia</w:t>
      </w:r>
    </w:p>
    <w:p w14:paraId="5A58FE04" w14:textId="77777777" w:rsidR="00A86C9E" w:rsidRPr="00886B59" w:rsidRDefault="00A86C9E" w:rsidP="00975036">
      <w:pPr>
        <w:pStyle w:val="numberedtext"/>
        <w:numPr>
          <w:ilvl w:val="0"/>
          <w:numId w:val="23"/>
        </w:numPr>
        <w:rPr>
          <w:rFonts w:cstheme="minorHAnsi"/>
        </w:rPr>
      </w:pPr>
      <w:r w:rsidRPr="00886B59">
        <w:rPr>
          <w:rFonts w:cstheme="minorHAnsi"/>
        </w:rPr>
        <w:t>Of ASIC staff surveyed, only 55% agreed that there is effective coordination between ASIC and other Australian regulators.</w:t>
      </w:r>
      <w:r w:rsidRPr="00886B59">
        <w:rPr>
          <w:rFonts w:cstheme="minorHAnsi"/>
          <w:vertAlign w:val="superscript"/>
        </w:rPr>
        <w:footnoteReference w:id="99"/>
      </w:r>
    </w:p>
    <w:p w14:paraId="2315CD13" w14:textId="56B4443E" w:rsidR="00A86C9E" w:rsidRPr="00886B59" w:rsidRDefault="00A86C9E" w:rsidP="00975036">
      <w:pPr>
        <w:pStyle w:val="numberedtext"/>
        <w:numPr>
          <w:ilvl w:val="0"/>
          <w:numId w:val="23"/>
        </w:numPr>
        <w:rPr>
          <w:rFonts w:cstheme="minorHAnsi"/>
        </w:rPr>
      </w:pPr>
      <w:r w:rsidRPr="00886B59">
        <w:rPr>
          <w:rFonts w:cstheme="minorHAnsi"/>
        </w:rPr>
        <w:t>In its self</w:t>
      </w:r>
      <w:r w:rsidR="00EF40B0">
        <w:rPr>
          <w:rFonts w:cstheme="minorHAnsi"/>
        </w:rPr>
        <w:noBreakHyphen/>
      </w:r>
      <w:r w:rsidRPr="00886B59">
        <w:rPr>
          <w:rFonts w:cstheme="minorHAnsi"/>
        </w:rPr>
        <w:t>assessment, ASIC noted that close engagement and information</w:t>
      </w:r>
      <w:r w:rsidR="00EF40B0">
        <w:rPr>
          <w:rFonts w:cstheme="minorHAnsi"/>
        </w:rPr>
        <w:noBreakHyphen/>
      </w:r>
      <w:r w:rsidRPr="00886B59">
        <w:rPr>
          <w:rFonts w:cstheme="minorHAnsi"/>
        </w:rPr>
        <w:t xml:space="preserve">sharing with other regulators has been and remains an organisational priority. ASIC considers that it works extensively with other regulators domestically, especially APRA, to share information, avoid duplication and promote common approaches to regulation. ASIC further noted that there may be legal limitations on the sharing of information between regulators. </w:t>
      </w:r>
    </w:p>
    <w:p w14:paraId="166921C7" w14:textId="77777777" w:rsidR="00A86C9E" w:rsidRPr="00886B59" w:rsidRDefault="00A86C9E" w:rsidP="00975036">
      <w:pPr>
        <w:pStyle w:val="numberedtext"/>
        <w:numPr>
          <w:ilvl w:val="0"/>
          <w:numId w:val="23"/>
        </w:numPr>
        <w:rPr>
          <w:rFonts w:cstheme="minorHAnsi"/>
        </w:rPr>
      </w:pPr>
      <w:r w:rsidRPr="00886B59">
        <w:rPr>
          <w:rFonts w:cstheme="minorHAnsi"/>
        </w:rPr>
        <w:t xml:space="preserve">ASIC pointed to its joint regulation with APRA of superannuation trustees as an example of collaboration. It noted that such engagement occurs at all staff levels and helps to ensure a shared understanding of the industry, legal requirements and expectations of trustees. </w:t>
      </w:r>
    </w:p>
    <w:p w14:paraId="5A419AE5" w14:textId="23BC3C9F" w:rsidR="00A86C9E" w:rsidRPr="00886B59" w:rsidRDefault="00A86C9E" w:rsidP="00B02E9E">
      <w:pPr>
        <w:pStyle w:val="numberedtext"/>
        <w:keepNext/>
        <w:numPr>
          <w:ilvl w:val="0"/>
          <w:numId w:val="23"/>
        </w:numPr>
        <w:rPr>
          <w:rFonts w:cstheme="minorHAnsi"/>
        </w:rPr>
      </w:pPr>
      <w:r w:rsidRPr="00886B59">
        <w:rPr>
          <w:rFonts w:cstheme="minorHAnsi"/>
        </w:rPr>
        <w:lastRenderedPageBreak/>
        <w:t>ASIC outlined several mechanisms in place to support inter</w:t>
      </w:r>
      <w:r w:rsidR="00EF40B0">
        <w:rPr>
          <w:rFonts w:cstheme="minorHAnsi"/>
        </w:rPr>
        <w:noBreakHyphen/>
      </w:r>
      <w:r w:rsidRPr="00886B59">
        <w:rPr>
          <w:rFonts w:cstheme="minorHAnsi"/>
        </w:rPr>
        <w:t>agency collaboration:</w:t>
      </w:r>
    </w:p>
    <w:p w14:paraId="21E02799" w14:textId="77665C1E" w:rsidR="00A86C9E" w:rsidRPr="00082F75" w:rsidRDefault="00A86C9E" w:rsidP="00923A66">
      <w:pPr>
        <w:pStyle w:val="Bullet"/>
      </w:pPr>
      <w:r w:rsidRPr="00755642">
        <w:t>establish</w:t>
      </w:r>
      <w:r w:rsidR="003F2DDE">
        <w:t>ing</w:t>
      </w:r>
      <w:r w:rsidRPr="00755642">
        <w:t xml:space="preserve"> an ASIC/APRA Memorandum of Understanding</w:t>
      </w:r>
      <w:r w:rsidR="003F2DDE">
        <w:t>,</w:t>
      </w:r>
      <w:r w:rsidRPr="00755642">
        <w:t xml:space="preserve"> which sets out a framework for engagement</w:t>
      </w:r>
      <w:r>
        <w:t>,</w:t>
      </w:r>
      <w:r w:rsidRPr="00755642">
        <w:t xml:space="preserve"> coordination, cooperation</w:t>
      </w:r>
      <w:r>
        <w:t>,</w:t>
      </w:r>
      <w:r w:rsidRPr="00755642">
        <w:t xml:space="preserve"> and info</w:t>
      </w:r>
      <w:r w:rsidRPr="00B7392A">
        <w:t xml:space="preserve">rmation </w:t>
      </w:r>
      <w:r w:rsidRPr="00923A66">
        <w:t>sharing</w:t>
      </w:r>
      <w:r w:rsidRPr="00B7392A">
        <w:t xml:space="preserve"> </w:t>
      </w:r>
    </w:p>
    <w:p w14:paraId="2F5BDB58" w14:textId="0D565C61" w:rsidR="00A86C9E" w:rsidRPr="007063FD" w:rsidRDefault="00A86C9E" w:rsidP="00923A66">
      <w:pPr>
        <w:pStyle w:val="Bullet"/>
      </w:pPr>
      <w:r>
        <w:t>e</w:t>
      </w:r>
      <w:r w:rsidRPr="006A558E">
        <w:t>stablish</w:t>
      </w:r>
      <w:r w:rsidR="003F2DDE">
        <w:t>ing</w:t>
      </w:r>
      <w:r w:rsidRPr="006A558E">
        <w:t xml:space="preserve"> </w:t>
      </w:r>
      <w:r>
        <w:t>2</w:t>
      </w:r>
      <w:r w:rsidRPr="006A558E">
        <w:t xml:space="preserve"> joint working groups to further the </w:t>
      </w:r>
      <w:r w:rsidRPr="00923A66">
        <w:t>development</w:t>
      </w:r>
      <w:r w:rsidRPr="006A558E">
        <w:t xml:space="preserve"> of a granular mortgage data collection and a general insurance claims and policy collection.</w:t>
      </w:r>
    </w:p>
    <w:p w14:paraId="71FA92BC" w14:textId="7AEFD719" w:rsidR="00A86C9E" w:rsidRPr="00886B59" w:rsidRDefault="00A86C9E" w:rsidP="00975036">
      <w:pPr>
        <w:pStyle w:val="numberedtext"/>
        <w:numPr>
          <w:ilvl w:val="0"/>
          <w:numId w:val="23"/>
        </w:numPr>
        <w:rPr>
          <w:rFonts w:cstheme="minorHAnsi"/>
        </w:rPr>
      </w:pPr>
      <w:r w:rsidRPr="00886B59">
        <w:rPr>
          <w:rFonts w:cstheme="minorHAnsi"/>
        </w:rPr>
        <w:t xml:space="preserve">Some submissions and </w:t>
      </w:r>
      <w:r w:rsidR="009107B6">
        <w:rPr>
          <w:rFonts w:cstheme="minorHAnsi"/>
        </w:rPr>
        <w:t>stakeholder</w:t>
      </w:r>
      <w:r w:rsidRPr="00886B59">
        <w:rPr>
          <w:rFonts w:cstheme="minorHAnsi"/>
        </w:rPr>
        <w:t xml:space="preserve"> survey responses observed greater communication between ASIC and other regulators and a consequential reduction in regulatory impost. </w:t>
      </w:r>
    </w:p>
    <w:p w14:paraId="34DC3959" w14:textId="757F538C" w:rsidR="00A86C9E" w:rsidRPr="0001492E" w:rsidRDefault="00EF40B0" w:rsidP="0001492E">
      <w:pPr>
        <w:pStyle w:val="Quote"/>
      </w:pPr>
      <w:r>
        <w:t>‘</w:t>
      </w:r>
      <w:r w:rsidR="00A86C9E" w:rsidRPr="0001492E">
        <w:t xml:space="preserve">We would encourage ASIC to continue ongoing coordination with other </w:t>
      </w:r>
      <w:r w:rsidR="003F2DDE">
        <w:t>r</w:t>
      </w:r>
      <w:r w:rsidR="00A86C9E" w:rsidRPr="0001492E">
        <w:t xml:space="preserve">egulators (in particular APRA) to minimise duplication and regulatory burden on industry, given the vast amount of information that regulated entities report on an ongoing basis. We have observed more recently in our interactions with ASIC and with other </w:t>
      </w:r>
      <w:r w:rsidR="007E342F">
        <w:t>r</w:t>
      </w:r>
      <w:r w:rsidR="00A86C9E" w:rsidRPr="0001492E">
        <w:t>egulators the benefits of this greater coordination.</w:t>
      </w:r>
      <w:r>
        <w:t>’</w:t>
      </w:r>
      <w:r w:rsidR="00A86C9E" w:rsidRPr="0001492E">
        <w:t xml:space="preserve"> </w:t>
      </w:r>
      <w:r w:rsidR="003F2DDE">
        <w:t xml:space="preserve">– </w:t>
      </w:r>
      <w:r w:rsidR="00A86C9E" w:rsidRPr="0001492E">
        <w:t>Stakeholder survey</w:t>
      </w:r>
    </w:p>
    <w:p w14:paraId="7F90D954" w14:textId="108CF92E" w:rsidR="00A86C9E" w:rsidRPr="00886B59" w:rsidRDefault="00A86C9E" w:rsidP="00975036">
      <w:pPr>
        <w:pStyle w:val="numberedtext"/>
        <w:numPr>
          <w:ilvl w:val="0"/>
          <w:numId w:val="23"/>
        </w:numPr>
        <w:rPr>
          <w:rFonts w:cstheme="minorHAnsi"/>
        </w:rPr>
      </w:pPr>
      <w:r w:rsidRPr="00886B59">
        <w:rPr>
          <w:rFonts w:cstheme="minorHAnsi"/>
        </w:rPr>
        <w:t>Given its significance as a driver of reduced regulatory impost, the FRAA considers that increased collaboration with other regulators, particularly APRA, should remain a focus for ASIC</w:t>
      </w:r>
      <w:r w:rsidR="001A1CBE" w:rsidRPr="00886B59">
        <w:rPr>
          <w:rFonts w:cstheme="minorHAnsi"/>
        </w:rPr>
        <w:t xml:space="preserve">. </w:t>
      </w:r>
    </w:p>
    <w:p w14:paraId="72EE6F16" w14:textId="77777777" w:rsidR="00A86C9E" w:rsidRPr="00D024EA" w:rsidRDefault="00A86C9E" w:rsidP="00D024EA">
      <w:pPr>
        <w:pStyle w:val="Heading4"/>
      </w:pPr>
      <w:r w:rsidRPr="00D024EA">
        <w:t>Collaboration within ASIC</w:t>
      </w:r>
    </w:p>
    <w:p w14:paraId="40289DB2" w14:textId="19F316BE" w:rsidR="00A86C9E" w:rsidRPr="00886B59" w:rsidRDefault="00A86C9E" w:rsidP="00975036">
      <w:pPr>
        <w:pStyle w:val="numberedtext"/>
        <w:numPr>
          <w:ilvl w:val="0"/>
          <w:numId w:val="23"/>
        </w:numPr>
        <w:rPr>
          <w:rFonts w:cstheme="minorHAnsi"/>
        </w:rPr>
      </w:pPr>
      <w:r w:rsidRPr="00886B59">
        <w:rPr>
          <w:rFonts w:cstheme="minorHAnsi"/>
        </w:rPr>
        <w:t xml:space="preserve">Many ASIC staff </w:t>
      </w:r>
      <w:r w:rsidR="007D2B26">
        <w:rPr>
          <w:rFonts w:cstheme="minorHAnsi"/>
        </w:rPr>
        <w:t xml:space="preserve">members </w:t>
      </w:r>
      <w:r w:rsidRPr="00886B59">
        <w:rPr>
          <w:rFonts w:cstheme="minorHAnsi"/>
        </w:rPr>
        <w:t xml:space="preserve">commented that teams operate in silos within ASIC and information is rarely shared effectively between teams. Some ASIC staff </w:t>
      </w:r>
      <w:r w:rsidR="007D2B26">
        <w:rPr>
          <w:rFonts w:cstheme="minorHAnsi"/>
        </w:rPr>
        <w:t xml:space="preserve">members </w:t>
      </w:r>
      <w:r w:rsidRPr="00886B59">
        <w:rPr>
          <w:rFonts w:cstheme="minorHAnsi"/>
        </w:rPr>
        <w:t xml:space="preserve">also observed opportunities for improved internal collaboration and increased awareness of available resources. </w:t>
      </w:r>
    </w:p>
    <w:p w14:paraId="7136957F" w14:textId="31710A21" w:rsidR="00A86C9E" w:rsidRPr="00432106" w:rsidRDefault="00EF40B0" w:rsidP="0001492E">
      <w:pPr>
        <w:pStyle w:val="Quote"/>
      </w:pPr>
      <w:r>
        <w:t>‘</w:t>
      </w:r>
      <w:r w:rsidR="00A86C9E" w:rsidRPr="00432106">
        <w:t xml:space="preserve">[there is a need for] greater internal information sharing [as] not all teams know what activities </w:t>
      </w:r>
      <w:r w:rsidR="00A86C9E" w:rsidRPr="00944908">
        <w:t>others</w:t>
      </w:r>
      <w:r w:rsidR="00A86C9E" w:rsidRPr="00432106">
        <w:t xml:space="preserve"> </w:t>
      </w:r>
      <w:r w:rsidR="00A86C9E" w:rsidRPr="00944908">
        <w:t>undertake</w:t>
      </w:r>
      <w:r w:rsidR="00A86C9E" w:rsidRPr="00432106">
        <w:t xml:space="preserve"> unless you have a personal network.</w:t>
      </w:r>
      <w:r>
        <w:t>’</w:t>
      </w:r>
      <w:r w:rsidR="00A86C9E" w:rsidRPr="00432106">
        <w:t xml:space="preserve"> </w:t>
      </w:r>
      <w:r w:rsidR="003F2DDE">
        <w:t xml:space="preserve">– </w:t>
      </w:r>
      <w:r w:rsidR="00A86C9E" w:rsidRPr="00432106">
        <w:t>Staff survey</w:t>
      </w:r>
    </w:p>
    <w:p w14:paraId="56120F30" w14:textId="1EF90F3B" w:rsidR="00A86C9E" w:rsidRPr="00432106" w:rsidRDefault="00EF40B0" w:rsidP="0001492E">
      <w:pPr>
        <w:pStyle w:val="Quote"/>
      </w:pPr>
      <w:r>
        <w:t>‘</w:t>
      </w:r>
      <w:r w:rsidR="00A86C9E" w:rsidRPr="00432106">
        <w:t xml:space="preserve">Better coordination across ASIC could help to minimise regulatory burden on the entities under </w:t>
      </w:r>
      <w:r w:rsidR="00A86C9E" w:rsidRPr="00944908">
        <w:t>surveillance</w:t>
      </w:r>
      <w:r w:rsidR="001A1CBE">
        <w:t xml:space="preserve"> – </w:t>
      </w:r>
      <w:r w:rsidR="00A86C9E" w:rsidRPr="00432106">
        <w:t>this work has started but is in its infancy and not especially well planned.</w:t>
      </w:r>
      <w:r>
        <w:t>’</w:t>
      </w:r>
      <w:r w:rsidR="00A86C9E" w:rsidRPr="00432106">
        <w:t xml:space="preserve"> </w:t>
      </w:r>
      <w:r w:rsidR="003F2DDE">
        <w:t xml:space="preserve">– </w:t>
      </w:r>
      <w:r w:rsidR="00A86C9E" w:rsidRPr="00432106">
        <w:t>Staff survey</w:t>
      </w:r>
    </w:p>
    <w:p w14:paraId="0DDD8D91" w14:textId="50911E81" w:rsidR="00A86C9E" w:rsidRPr="00886B59" w:rsidRDefault="00A86C9E" w:rsidP="00975036">
      <w:pPr>
        <w:pStyle w:val="numberedtext"/>
        <w:numPr>
          <w:ilvl w:val="0"/>
          <w:numId w:val="23"/>
        </w:numPr>
        <w:rPr>
          <w:rFonts w:cstheme="minorHAnsi"/>
        </w:rPr>
      </w:pPr>
      <w:r w:rsidRPr="00886B59">
        <w:rPr>
          <w:rFonts w:cstheme="minorHAnsi"/>
        </w:rPr>
        <w:t xml:space="preserve">External stakeholders raised similar concerns </w:t>
      </w:r>
      <w:r w:rsidR="007C1479">
        <w:rPr>
          <w:rFonts w:cstheme="minorHAnsi"/>
        </w:rPr>
        <w:t>about</w:t>
      </w:r>
      <w:r w:rsidR="007C1479" w:rsidRPr="00886B59">
        <w:rPr>
          <w:rFonts w:cstheme="minorHAnsi"/>
        </w:rPr>
        <w:t xml:space="preserve"> </w:t>
      </w:r>
      <w:r w:rsidRPr="00886B59">
        <w:rPr>
          <w:rFonts w:cstheme="minorHAnsi"/>
        </w:rPr>
        <w:t xml:space="preserve">internal coordination and information sharing. Only 9% of external stakeholders agreed that ASIC surveillance staff </w:t>
      </w:r>
      <w:r w:rsidR="00D90E2E">
        <w:rPr>
          <w:rFonts w:cstheme="minorHAnsi"/>
        </w:rPr>
        <w:t xml:space="preserve">members </w:t>
      </w:r>
      <w:r w:rsidRPr="00886B59">
        <w:rPr>
          <w:rFonts w:cstheme="minorHAnsi"/>
        </w:rPr>
        <w:t>collaborate well with other areas of ASIC.</w:t>
      </w:r>
      <w:r w:rsidRPr="00886B59">
        <w:rPr>
          <w:rFonts w:cstheme="minorHAnsi"/>
          <w:vertAlign w:val="superscript"/>
        </w:rPr>
        <w:footnoteReference w:id="100"/>
      </w:r>
      <w:r w:rsidRPr="00886B59">
        <w:rPr>
          <w:rFonts w:cstheme="minorHAnsi"/>
          <w:vertAlign w:val="superscript"/>
        </w:rPr>
        <w:t xml:space="preserve"> </w:t>
      </w:r>
    </w:p>
    <w:p w14:paraId="078CA116" w14:textId="2EACFAA3" w:rsidR="00A86C9E" w:rsidRPr="00886B59" w:rsidRDefault="00A86C9E" w:rsidP="00975036">
      <w:pPr>
        <w:pStyle w:val="numberedtext"/>
        <w:numPr>
          <w:ilvl w:val="0"/>
          <w:numId w:val="23"/>
        </w:numPr>
        <w:rPr>
          <w:rFonts w:cstheme="minorHAnsi"/>
        </w:rPr>
      </w:pPr>
      <w:r w:rsidRPr="00886B59">
        <w:rPr>
          <w:rFonts w:cstheme="minorHAnsi"/>
        </w:rPr>
        <w:t>In its self</w:t>
      </w:r>
      <w:r w:rsidR="00EF40B0">
        <w:rPr>
          <w:rFonts w:cstheme="minorHAnsi"/>
        </w:rPr>
        <w:noBreakHyphen/>
      </w:r>
      <w:r w:rsidRPr="00886B59">
        <w:rPr>
          <w:rFonts w:cstheme="minorHAnsi"/>
        </w:rPr>
        <w:t>assessment, ASIC outlined several mechanisms for ensuring visibility of key projects across the organisation</w:t>
      </w:r>
      <w:r w:rsidR="00AB70FB">
        <w:rPr>
          <w:rFonts w:cstheme="minorHAnsi"/>
        </w:rPr>
        <w:t>. This</w:t>
      </w:r>
      <w:r w:rsidRPr="00886B59">
        <w:rPr>
          <w:rFonts w:cstheme="minorHAnsi"/>
        </w:rPr>
        <w:t xml:space="preserve"> includ</w:t>
      </w:r>
      <w:r w:rsidR="00AB70FB">
        <w:rPr>
          <w:rFonts w:cstheme="minorHAnsi"/>
        </w:rPr>
        <w:t>es</w:t>
      </w:r>
      <w:r w:rsidRPr="00886B59">
        <w:rPr>
          <w:rFonts w:cstheme="minorHAnsi"/>
        </w:rPr>
        <w:t xml:space="preserve"> the production and dissemination of fortnightly reports and formal liaison meetings between teams, for example enforcement and supervisory teams.</w:t>
      </w:r>
    </w:p>
    <w:p w14:paraId="390C7F51" w14:textId="6BDC32B5" w:rsidR="00D01BD7" w:rsidRDefault="00A86C9E" w:rsidP="00975036">
      <w:pPr>
        <w:pStyle w:val="numberedtext"/>
        <w:numPr>
          <w:ilvl w:val="0"/>
          <w:numId w:val="23"/>
        </w:numPr>
        <w:rPr>
          <w:rFonts w:cstheme="minorHAnsi"/>
        </w:rPr>
      </w:pPr>
      <w:r w:rsidRPr="00886B59">
        <w:rPr>
          <w:rFonts w:cstheme="minorHAnsi"/>
        </w:rPr>
        <w:t>ASIC further detailed examples of cross</w:t>
      </w:r>
      <w:r w:rsidR="00EF40B0">
        <w:rPr>
          <w:rFonts w:cstheme="minorHAnsi"/>
        </w:rPr>
        <w:noBreakHyphen/>
      </w:r>
      <w:r w:rsidRPr="00886B59">
        <w:rPr>
          <w:rFonts w:cstheme="minorHAnsi"/>
        </w:rPr>
        <w:t>team project work undertaken to address issues that span the boundaries of its internal structure. For example, in response to harms arising during the COVID</w:t>
      </w:r>
      <w:r w:rsidR="00EF40B0">
        <w:rPr>
          <w:rFonts w:cstheme="minorHAnsi"/>
        </w:rPr>
        <w:noBreakHyphen/>
      </w:r>
      <w:r w:rsidRPr="00886B59">
        <w:rPr>
          <w:rFonts w:cstheme="minorHAnsi"/>
        </w:rPr>
        <w:t>19 pandemic, ASIC established cross</w:t>
      </w:r>
      <w:r w:rsidR="00EF40B0">
        <w:rPr>
          <w:rFonts w:cstheme="minorHAnsi"/>
        </w:rPr>
        <w:noBreakHyphen/>
      </w:r>
      <w:r w:rsidRPr="00886B59">
        <w:rPr>
          <w:rFonts w:cstheme="minorHAnsi"/>
        </w:rPr>
        <w:t>team working groups focused on scams, unlicensed advice and misleading advertising. ASIC has subsequently set up a cross</w:t>
      </w:r>
      <w:r w:rsidR="00EF40B0">
        <w:rPr>
          <w:rFonts w:cstheme="minorHAnsi"/>
        </w:rPr>
        <w:noBreakHyphen/>
      </w:r>
      <w:r w:rsidRPr="00886B59">
        <w:rPr>
          <w:rFonts w:cstheme="minorHAnsi"/>
        </w:rPr>
        <w:t>team working group focused on cyber</w:t>
      </w:r>
      <w:r w:rsidR="00EF40B0">
        <w:rPr>
          <w:rFonts w:cstheme="minorHAnsi"/>
        </w:rPr>
        <w:noBreakHyphen/>
      </w:r>
      <w:r w:rsidRPr="00886B59">
        <w:rPr>
          <w:rFonts w:cstheme="minorHAnsi"/>
        </w:rPr>
        <w:t>related issues and recognises the need to continue and extend its cross</w:t>
      </w:r>
      <w:r w:rsidR="00EF40B0">
        <w:rPr>
          <w:rFonts w:cstheme="minorHAnsi"/>
        </w:rPr>
        <w:noBreakHyphen/>
      </w:r>
      <w:r w:rsidRPr="00886B59">
        <w:rPr>
          <w:rFonts w:cstheme="minorHAnsi"/>
        </w:rPr>
        <w:t>team efforts.</w:t>
      </w:r>
    </w:p>
    <w:p w14:paraId="79922E3B" w14:textId="77777777" w:rsidR="00D01BD7" w:rsidRDefault="00D01BD7">
      <w:pPr>
        <w:spacing w:before="0" w:after="160" w:line="259" w:lineRule="auto"/>
        <w:rPr>
          <w:rFonts w:asciiTheme="minorHAnsi" w:eastAsiaTheme="minorHAnsi" w:hAnsiTheme="minorHAnsi" w:cstheme="minorHAnsi"/>
          <w:szCs w:val="22"/>
          <w:lang w:eastAsia="en-US"/>
        </w:rPr>
      </w:pPr>
      <w:r>
        <w:rPr>
          <w:rFonts w:cstheme="minorHAnsi"/>
        </w:rPr>
        <w:br w:type="page"/>
      </w:r>
    </w:p>
    <w:p w14:paraId="2F7D145A" w14:textId="0BD842F1" w:rsidR="00A86C9E" w:rsidRPr="00886B59" w:rsidRDefault="00A86C9E" w:rsidP="00975036">
      <w:pPr>
        <w:pStyle w:val="numberedtext"/>
        <w:numPr>
          <w:ilvl w:val="0"/>
          <w:numId w:val="23"/>
        </w:numPr>
        <w:rPr>
          <w:rFonts w:cstheme="minorHAnsi"/>
        </w:rPr>
      </w:pPr>
      <w:bookmarkStart w:id="99" w:name="_Ref110262535"/>
      <w:r w:rsidRPr="00886B59">
        <w:rPr>
          <w:rFonts w:cstheme="minorHAnsi"/>
        </w:rPr>
        <w:lastRenderedPageBreak/>
        <w:t>ASIC staff perception of coordination between surveillance and licensing was more positive. Sixty</w:t>
      </w:r>
      <w:r w:rsidR="00EF40B0">
        <w:rPr>
          <w:rFonts w:cstheme="minorHAnsi"/>
        </w:rPr>
        <w:noBreakHyphen/>
      </w:r>
      <w:r w:rsidRPr="00886B59">
        <w:rPr>
          <w:rFonts w:cstheme="minorHAnsi"/>
        </w:rPr>
        <w:t>six per cent of ASIC staff agreed that where relevant, information is appropriately shared between ASIC teams to support surveillance activities, and 59% of staff agreed that they have access to information collected during licensing applications to assist surveillances</w:t>
      </w:r>
      <w:r w:rsidR="00AE67E2">
        <w:rPr>
          <w:rFonts w:cstheme="minorHAnsi"/>
        </w:rPr>
        <w:t>.</w:t>
      </w:r>
      <w:r w:rsidRPr="00886B59">
        <w:rPr>
          <w:rFonts w:cstheme="minorHAnsi"/>
          <w:vertAlign w:val="superscript"/>
        </w:rPr>
        <w:footnoteReference w:id="101"/>
      </w:r>
      <w:r w:rsidRPr="00886B59">
        <w:rPr>
          <w:rFonts w:cstheme="minorHAnsi"/>
        </w:rPr>
        <w:t xml:space="preserve"> ASIC staff from both </w:t>
      </w:r>
      <w:r w:rsidR="00DC7E50">
        <w:rPr>
          <w:rFonts w:cstheme="minorHAnsi"/>
        </w:rPr>
        <w:t xml:space="preserve">the </w:t>
      </w:r>
      <w:r w:rsidRPr="00886B59">
        <w:rPr>
          <w:rFonts w:cstheme="minorHAnsi"/>
        </w:rPr>
        <w:t xml:space="preserve">surveillance and licensing teams spoke of </w:t>
      </w:r>
      <w:r w:rsidR="00FC2C47">
        <w:rPr>
          <w:rFonts w:cstheme="minorHAnsi"/>
        </w:rPr>
        <w:t>sharing</w:t>
      </w:r>
      <w:r w:rsidRPr="00886B59">
        <w:rPr>
          <w:rFonts w:cstheme="minorHAnsi"/>
        </w:rPr>
        <w:t xml:space="preserve"> findings between teams to inform post</w:t>
      </w:r>
      <w:r w:rsidR="00EF40B0">
        <w:rPr>
          <w:rFonts w:cstheme="minorHAnsi"/>
        </w:rPr>
        <w:noBreakHyphen/>
      </w:r>
      <w:r w:rsidRPr="00886B59">
        <w:rPr>
          <w:rFonts w:cstheme="minorHAnsi"/>
        </w:rPr>
        <w:t>licence monitoring and risk assessment.</w:t>
      </w:r>
      <w:r w:rsidRPr="00886B59">
        <w:rPr>
          <w:rFonts w:cstheme="minorHAnsi"/>
          <w:vertAlign w:val="superscript"/>
        </w:rPr>
        <w:footnoteReference w:id="102"/>
      </w:r>
      <w:bookmarkEnd w:id="99"/>
    </w:p>
    <w:p w14:paraId="6C8296EF" w14:textId="77777777" w:rsidR="00A86C9E" w:rsidRPr="00886B59" w:rsidRDefault="00A86C9E" w:rsidP="00975036">
      <w:pPr>
        <w:pStyle w:val="numberedtext"/>
        <w:numPr>
          <w:ilvl w:val="0"/>
          <w:numId w:val="23"/>
        </w:numPr>
        <w:rPr>
          <w:rFonts w:cstheme="minorHAnsi"/>
        </w:rPr>
      </w:pPr>
      <w:r w:rsidRPr="00886B59">
        <w:rPr>
          <w:rFonts w:cstheme="minorHAnsi"/>
        </w:rPr>
        <w:t xml:space="preserve">The FRAA considers that there is scope to increase collaboration within ASIC to more effectively share information and help drive efficiency. </w:t>
      </w:r>
    </w:p>
    <w:p w14:paraId="68E551A6" w14:textId="0A3241E2" w:rsidR="00A86C9E" w:rsidRPr="00D024EA" w:rsidRDefault="00EC6ED9" w:rsidP="00D024EA">
      <w:pPr>
        <w:pStyle w:val="Heading3"/>
      </w:pPr>
      <w:bookmarkStart w:id="100" w:name="_Toc108786447"/>
      <w:r w:rsidRPr="00EC6ED9">
        <w:t xml:space="preserve">Organisational capability: </w:t>
      </w:r>
      <w:r w:rsidR="00A86C9E" w:rsidRPr="00D024EA">
        <w:t>ASIC</w:t>
      </w:r>
      <w:r w:rsidR="00EF40B0">
        <w:t>’</w:t>
      </w:r>
      <w:r w:rsidR="00A86C9E" w:rsidRPr="00D024EA">
        <w:t>s staff and systems</w:t>
      </w:r>
      <w:bookmarkEnd w:id="100"/>
      <w:r w:rsidR="00A86C9E" w:rsidRPr="00D024EA">
        <w:rPr>
          <w:rStyle w:val="CommentReference"/>
          <w:rFonts w:eastAsiaTheme="minorEastAsia"/>
        </w:rPr>
        <w:t xml:space="preserve"> </w:t>
      </w:r>
    </w:p>
    <w:p w14:paraId="407A2CD7" w14:textId="77777777" w:rsidR="00A86C9E" w:rsidRPr="00D024EA" w:rsidRDefault="00A86C9E" w:rsidP="00D024EA">
      <w:pPr>
        <w:pStyle w:val="Heading4"/>
      </w:pPr>
      <w:r w:rsidRPr="00D024EA">
        <w:t>Surveillance staff</w:t>
      </w:r>
    </w:p>
    <w:p w14:paraId="2A16FE49" w14:textId="77777777" w:rsidR="00A86C9E" w:rsidRPr="00886B59" w:rsidRDefault="00A86C9E" w:rsidP="00975036">
      <w:pPr>
        <w:pStyle w:val="numberedtext"/>
        <w:numPr>
          <w:ilvl w:val="0"/>
          <w:numId w:val="23"/>
        </w:numPr>
        <w:rPr>
          <w:rFonts w:cstheme="minorHAnsi"/>
        </w:rPr>
      </w:pPr>
      <w:r w:rsidRPr="00886B59">
        <w:rPr>
          <w:rFonts w:cstheme="minorHAnsi"/>
        </w:rPr>
        <w:t xml:space="preserve">Feedback on ASIC staff skills and experience, both generally and in surveillances, was mixed. </w:t>
      </w:r>
    </w:p>
    <w:p w14:paraId="4F26099D" w14:textId="40536693" w:rsidR="00A86C9E" w:rsidRPr="00886B59" w:rsidRDefault="00A86C9E" w:rsidP="00975036">
      <w:pPr>
        <w:pStyle w:val="numberedtext"/>
        <w:numPr>
          <w:ilvl w:val="0"/>
          <w:numId w:val="23"/>
        </w:numPr>
        <w:rPr>
          <w:rFonts w:cstheme="minorHAnsi"/>
        </w:rPr>
      </w:pPr>
      <w:r w:rsidRPr="00886B59">
        <w:rPr>
          <w:rFonts w:cstheme="minorHAnsi"/>
        </w:rPr>
        <w:t>Across ASIC, 76% of staff agreed that their team has the right skills and capabilities.</w:t>
      </w:r>
      <w:r w:rsidRPr="00886B59">
        <w:rPr>
          <w:rFonts w:cstheme="minorHAnsi"/>
          <w:vertAlign w:val="superscript"/>
        </w:rPr>
        <w:footnoteReference w:id="103"/>
      </w:r>
      <w:r w:rsidRPr="00886B59">
        <w:rPr>
          <w:rFonts w:cstheme="minorHAnsi"/>
        </w:rPr>
        <w:t xml:space="preserve"> </w:t>
      </w:r>
      <w:r w:rsidR="009107B6">
        <w:rPr>
          <w:rFonts w:cstheme="minorHAnsi"/>
        </w:rPr>
        <w:t>Stakeholder</w:t>
      </w:r>
      <w:r w:rsidRPr="00886B59">
        <w:rPr>
          <w:rFonts w:cstheme="minorHAnsi"/>
        </w:rPr>
        <w:t xml:space="preserve"> survey respondents were less positive, with only 13% agreeing that ASIC staff have the right skills and capabilities to make regulatory decisions</w:t>
      </w:r>
      <w:r w:rsidR="003F6A1C">
        <w:rPr>
          <w:rFonts w:cstheme="minorHAnsi"/>
        </w:rPr>
        <w:t>.</w:t>
      </w:r>
      <w:r w:rsidRPr="00886B59">
        <w:rPr>
          <w:rFonts w:cstheme="minorHAnsi"/>
          <w:vertAlign w:val="superscript"/>
        </w:rPr>
        <w:footnoteReference w:id="104"/>
      </w:r>
      <w:r w:rsidRPr="00886B59">
        <w:t xml:space="preserve"> </w:t>
      </w:r>
    </w:p>
    <w:p w14:paraId="014BB6BD" w14:textId="41E919B5" w:rsidR="00A86C9E" w:rsidRPr="00886B59" w:rsidRDefault="00A86C9E" w:rsidP="00975036">
      <w:pPr>
        <w:pStyle w:val="numberedtext"/>
        <w:numPr>
          <w:ilvl w:val="0"/>
          <w:numId w:val="23"/>
        </w:numPr>
        <w:rPr>
          <w:rFonts w:cstheme="minorHAnsi"/>
        </w:rPr>
      </w:pPr>
      <w:r w:rsidRPr="00886B59">
        <w:rPr>
          <w:rFonts w:cstheme="minorHAnsi"/>
        </w:rPr>
        <w:t xml:space="preserve">In the context of surveillances, only 16% of </w:t>
      </w:r>
      <w:r w:rsidR="009107B6">
        <w:rPr>
          <w:rFonts w:cstheme="minorHAnsi"/>
        </w:rPr>
        <w:t>stakeholder</w:t>
      </w:r>
      <w:r w:rsidRPr="00886B59">
        <w:rPr>
          <w:rFonts w:cstheme="minorHAnsi"/>
        </w:rPr>
        <w:t xml:space="preserve"> survey respondents agreed that ASIC staff carrying out surveillance activities have the right skills and capabilities</w:t>
      </w:r>
      <w:r w:rsidR="009A1F14">
        <w:rPr>
          <w:rFonts w:cstheme="minorHAnsi"/>
        </w:rPr>
        <w:t>.</w:t>
      </w:r>
      <w:r w:rsidRPr="00886B59">
        <w:rPr>
          <w:rFonts w:cstheme="minorHAnsi"/>
          <w:vertAlign w:val="superscript"/>
        </w:rPr>
        <w:footnoteReference w:id="105"/>
      </w:r>
    </w:p>
    <w:p w14:paraId="50AE16F3" w14:textId="40AF6938" w:rsidR="00A86C9E" w:rsidRPr="00886B59" w:rsidRDefault="00A86C9E" w:rsidP="00975036">
      <w:pPr>
        <w:pStyle w:val="numberedtext"/>
        <w:numPr>
          <w:ilvl w:val="0"/>
          <w:numId w:val="23"/>
        </w:numPr>
        <w:rPr>
          <w:rFonts w:cstheme="minorHAnsi"/>
        </w:rPr>
      </w:pPr>
      <w:r w:rsidRPr="00886B59">
        <w:rPr>
          <w:rFonts w:cstheme="minorHAnsi"/>
        </w:rPr>
        <w:t>One submission considered that in a particular surveillance area, increased inspection capability was required, and that ASIC should ensure that staff have the appropriate skills and experience</w:t>
      </w:r>
      <w:r w:rsidR="00C22326">
        <w:rPr>
          <w:rFonts w:cstheme="minorHAnsi"/>
        </w:rPr>
        <w:t>.</w:t>
      </w:r>
      <w:r w:rsidRPr="00886B59">
        <w:rPr>
          <w:vertAlign w:val="superscript"/>
        </w:rPr>
        <w:footnoteReference w:id="106"/>
      </w:r>
      <w:r w:rsidRPr="00886B59">
        <w:rPr>
          <w:rFonts w:cstheme="minorHAnsi"/>
        </w:rPr>
        <w:t xml:space="preserve"> Another submission noted that while ASIC</w:t>
      </w:r>
      <w:r w:rsidR="00EF40B0">
        <w:rPr>
          <w:rFonts w:cstheme="minorHAnsi"/>
        </w:rPr>
        <w:t>’</w:t>
      </w:r>
      <w:r w:rsidRPr="00886B59">
        <w:rPr>
          <w:rFonts w:cstheme="minorHAnsi"/>
        </w:rPr>
        <w:t>s surveillance function is technically sophisticated and capable, it would encourage ASIC investigators to have greater market experience and understanding to interpret trading activity undertaken by professional portfolio managers</w:t>
      </w:r>
      <w:r w:rsidR="00C22326">
        <w:rPr>
          <w:rFonts w:cstheme="minorHAnsi"/>
        </w:rPr>
        <w:t>.</w:t>
      </w:r>
      <w:r w:rsidRPr="00886B59">
        <w:rPr>
          <w:rFonts w:cstheme="minorHAnsi"/>
          <w:vertAlign w:val="superscript"/>
        </w:rPr>
        <w:footnoteReference w:id="107"/>
      </w:r>
      <w:r w:rsidRPr="00886B59">
        <w:rPr>
          <w:rFonts w:cstheme="minorHAnsi"/>
        </w:rPr>
        <w:t xml:space="preserve"> </w:t>
      </w:r>
    </w:p>
    <w:p w14:paraId="41B33B26" w14:textId="07683598" w:rsidR="00A86C9E" w:rsidRPr="00886B59" w:rsidRDefault="00A86C9E" w:rsidP="00975036">
      <w:pPr>
        <w:pStyle w:val="numberedtext"/>
        <w:numPr>
          <w:ilvl w:val="0"/>
          <w:numId w:val="23"/>
        </w:numPr>
        <w:rPr>
          <w:rFonts w:cstheme="minorHAnsi"/>
        </w:rPr>
      </w:pPr>
      <w:r w:rsidRPr="00886B59">
        <w:rPr>
          <w:rFonts w:cstheme="minorHAnsi"/>
        </w:rPr>
        <w:t>Similarly, one submission raised concerns about members of review teams having access to the necessary skills and knowledge, but did acknowledge the expertise of senior staff</w:t>
      </w:r>
      <w:r w:rsidR="00D66B7B">
        <w:rPr>
          <w:rFonts w:cstheme="minorHAnsi"/>
        </w:rPr>
        <w:t xml:space="preserve"> members</w:t>
      </w:r>
      <w:r w:rsidRPr="00886B59">
        <w:rPr>
          <w:rFonts w:cstheme="minorHAnsi"/>
        </w:rPr>
        <w:t>.</w:t>
      </w:r>
    </w:p>
    <w:p w14:paraId="13F10211" w14:textId="6CE7E445" w:rsidR="00A86C9E" w:rsidRDefault="00EF40B0" w:rsidP="007D4979">
      <w:pPr>
        <w:pStyle w:val="Quote"/>
      </w:pPr>
      <w:r>
        <w:t>‘</w:t>
      </w:r>
      <w:r w:rsidR="00A86C9E" w:rsidRPr="007939EB">
        <w:t>We note that this</w:t>
      </w:r>
      <w:r w:rsidR="00A86C9E">
        <w:t xml:space="preserve"> [concerns regarding skills, knowledge and expertise]</w:t>
      </w:r>
      <w:r w:rsidR="00A86C9E" w:rsidRPr="007939EB">
        <w:t xml:space="preserve"> does not extend to all ASIC staff, for example, ASIC senior executives are highly regarded by directors and auditors. The challenge is the relatively limited depth of expertise within the organisation</w:t>
      </w:r>
      <w:r w:rsidR="001200FD">
        <w:t>.</w:t>
      </w:r>
      <w:r>
        <w:t>’</w:t>
      </w:r>
      <w:r w:rsidR="00A86C9E">
        <w:t xml:space="preserve"> </w:t>
      </w:r>
      <w:r w:rsidR="001200FD">
        <w:t>–</w:t>
      </w:r>
      <w:r w:rsidR="00A86C9E">
        <w:t xml:space="preserve"> Public </w:t>
      </w:r>
      <w:r w:rsidR="003A15AB">
        <w:t>s</w:t>
      </w:r>
      <w:r w:rsidR="00A86C9E">
        <w:t>ubmission, Australian Institute of Company Directors</w:t>
      </w:r>
    </w:p>
    <w:p w14:paraId="1FE8F0D0" w14:textId="0ADF9592" w:rsidR="00A86C9E" w:rsidRPr="00886B59" w:rsidRDefault="00A86C9E" w:rsidP="00975036">
      <w:pPr>
        <w:pStyle w:val="numberedtext"/>
        <w:numPr>
          <w:ilvl w:val="0"/>
          <w:numId w:val="23"/>
        </w:numPr>
        <w:rPr>
          <w:rFonts w:cstheme="minorHAnsi"/>
        </w:rPr>
      </w:pPr>
      <w:r w:rsidRPr="00886B59">
        <w:rPr>
          <w:rFonts w:cstheme="minorHAnsi"/>
        </w:rPr>
        <w:t xml:space="preserve">While it is expected that the regulated population may be critical of the regulator, a number of ASIC surveillance staff </w:t>
      </w:r>
      <w:r w:rsidR="00BE0CA3">
        <w:rPr>
          <w:rFonts w:cstheme="minorHAnsi"/>
        </w:rPr>
        <w:t xml:space="preserve">members </w:t>
      </w:r>
      <w:r w:rsidRPr="00886B59">
        <w:rPr>
          <w:rFonts w:cstheme="minorHAnsi"/>
        </w:rPr>
        <w:t xml:space="preserve">supported the need for increased skills and experience in surveillance teams. In the survey, some ASIC staff </w:t>
      </w:r>
      <w:r w:rsidR="00184BC3">
        <w:rPr>
          <w:rFonts w:cstheme="minorHAnsi"/>
        </w:rPr>
        <w:t xml:space="preserve">members </w:t>
      </w:r>
      <w:r w:rsidRPr="00886B59">
        <w:rPr>
          <w:rFonts w:cstheme="minorHAnsi"/>
        </w:rPr>
        <w:t>noted inconsistent capability across teams, and that many staff members lacked industry experience, limiting their understanding of industry practice.</w:t>
      </w:r>
    </w:p>
    <w:p w14:paraId="466B1C9A" w14:textId="7A9041F5" w:rsidR="00A86C9E" w:rsidRPr="0055673D" w:rsidRDefault="00EF40B0" w:rsidP="007D4979">
      <w:pPr>
        <w:pStyle w:val="Quote"/>
      </w:pPr>
      <w:r>
        <w:lastRenderedPageBreak/>
        <w:t>‘</w:t>
      </w:r>
      <w:r w:rsidR="00A86C9E" w:rsidRPr="0055673D">
        <w:t xml:space="preserve">The quality, oversight and structures of supervision vary massively across ASIC, which includes the capabilities and </w:t>
      </w:r>
      <w:r w:rsidR="00A86C9E" w:rsidRPr="00C41367">
        <w:t>expertise</w:t>
      </w:r>
      <w:r w:rsidR="00A86C9E" w:rsidRPr="0055673D">
        <w:t xml:space="preserve"> of the staff allocated to matters</w:t>
      </w:r>
      <w:r w:rsidR="00A86C9E">
        <w:t>.</w:t>
      </w:r>
      <w:r>
        <w:t>’</w:t>
      </w:r>
      <w:r w:rsidR="00A86C9E">
        <w:t xml:space="preserve"> </w:t>
      </w:r>
      <w:r w:rsidR="00DC7E50">
        <w:t xml:space="preserve">– </w:t>
      </w:r>
      <w:r w:rsidR="00A86C9E">
        <w:t>Staff survey</w:t>
      </w:r>
      <w:r w:rsidR="00A86C9E" w:rsidRPr="0055673D">
        <w:t xml:space="preserve"> </w:t>
      </w:r>
    </w:p>
    <w:p w14:paraId="16350CE6" w14:textId="22690242" w:rsidR="00A86C9E" w:rsidRPr="00F7690E" w:rsidRDefault="00EF40B0" w:rsidP="007D4979">
      <w:pPr>
        <w:pStyle w:val="Quote"/>
      </w:pPr>
      <w:r>
        <w:t>‘</w:t>
      </w:r>
      <w:r w:rsidR="00A86C9E" w:rsidRPr="00F7690E">
        <w:t xml:space="preserve">ASIC lacks the industry expertise to really understand what industry is doing. As a result, </w:t>
      </w:r>
      <w:r w:rsidR="00A86C9E" w:rsidRPr="00C41367">
        <w:t>surveillances</w:t>
      </w:r>
      <w:r w:rsidR="00A86C9E" w:rsidRPr="00F7690E">
        <w:t xml:space="preserve"> typically only find the obvious problems, the more nuanced, technical problems (</w:t>
      </w:r>
      <w:r w:rsidR="00EE36D4">
        <w:t>for example,</w:t>
      </w:r>
      <w:r w:rsidR="00A86C9E" w:rsidRPr="00F7690E">
        <w:t xml:space="preserve"> ones flowing out of use of Big Data </w:t>
      </w:r>
      <w:r w:rsidR="00603962">
        <w:t>and</w:t>
      </w:r>
      <w:r w:rsidR="00A86C9E" w:rsidRPr="00F7690E">
        <w:t xml:space="preserve"> Artificial Intelligence as well as blockchain) are missed.</w:t>
      </w:r>
      <w:r>
        <w:t>’</w:t>
      </w:r>
      <w:r w:rsidR="00A86C9E" w:rsidRPr="00F7690E">
        <w:t xml:space="preserve"> </w:t>
      </w:r>
      <w:r w:rsidR="00DC7E50">
        <w:t xml:space="preserve">– </w:t>
      </w:r>
      <w:r w:rsidR="00A86C9E" w:rsidRPr="00F7690E">
        <w:t>Staff survey</w:t>
      </w:r>
    </w:p>
    <w:p w14:paraId="0C3C9BF0" w14:textId="38C2E210" w:rsidR="00A86C9E" w:rsidRPr="00886B59" w:rsidRDefault="00A86C9E" w:rsidP="00975036">
      <w:pPr>
        <w:pStyle w:val="numberedtext"/>
        <w:numPr>
          <w:ilvl w:val="0"/>
          <w:numId w:val="23"/>
        </w:numPr>
        <w:rPr>
          <w:rFonts w:cstheme="minorHAnsi"/>
        </w:rPr>
      </w:pPr>
      <w:r w:rsidRPr="00886B59">
        <w:rPr>
          <w:rFonts w:cstheme="minorHAnsi"/>
        </w:rPr>
        <w:t>Results from initial staff self</w:t>
      </w:r>
      <w:r w:rsidR="00EF40B0">
        <w:rPr>
          <w:rFonts w:cstheme="minorHAnsi"/>
        </w:rPr>
        <w:noBreakHyphen/>
      </w:r>
      <w:r w:rsidRPr="00886B59">
        <w:rPr>
          <w:rFonts w:cstheme="minorHAnsi"/>
        </w:rPr>
        <w:t>assessments conducted under ASIC</w:t>
      </w:r>
      <w:r w:rsidR="00EF40B0">
        <w:rPr>
          <w:rFonts w:cstheme="minorHAnsi"/>
        </w:rPr>
        <w:t>’</w:t>
      </w:r>
      <w:r w:rsidRPr="00886B59">
        <w:rPr>
          <w:rFonts w:cstheme="minorHAnsi"/>
        </w:rPr>
        <w:t xml:space="preserve">s </w:t>
      </w:r>
      <w:r w:rsidR="00EC6ED9">
        <w:rPr>
          <w:rFonts w:cstheme="minorHAnsi"/>
        </w:rPr>
        <w:t>most recent</w:t>
      </w:r>
      <w:r w:rsidRPr="00886B59">
        <w:rPr>
          <w:rFonts w:cstheme="minorHAnsi"/>
        </w:rPr>
        <w:t xml:space="preserve"> capability framework suggest that while</w:t>
      </w:r>
      <w:r w:rsidR="00EC6ED9">
        <w:rPr>
          <w:rFonts w:cstheme="minorHAnsi"/>
        </w:rPr>
        <w:t>, on average,</w:t>
      </w:r>
      <w:r w:rsidRPr="00886B59">
        <w:rPr>
          <w:rFonts w:cstheme="minorHAnsi"/>
        </w:rPr>
        <w:t xml:space="preserve"> </w:t>
      </w:r>
      <w:r w:rsidR="00EC6ED9">
        <w:rPr>
          <w:rFonts w:cstheme="minorHAnsi"/>
        </w:rPr>
        <w:t>the majority of</w:t>
      </w:r>
      <w:r w:rsidRPr="00886B59">
        <w:rPr>
          <w:rFonts w:cstheme="minorHAnsi"/>
        </w:rPr>
        <w:t xml:space="preserve"> surveillance staff </w:t>
      </w:r>
      <w:r w:rsidR="00E73884">
        <w:rPr>
          <w:rFonts w:cstheme="minorHAnsi"/>
        </w:rPr>
        <w:t xml:space="preserve">members </w:t>
      </w:r>
      <w:r w:rsidRPr="00886B59">
        <w:rPr>
          <w:rFonts w:cstheme="minorHAnsi"/>
        </w:rPr>
        <w:t xml:space="preserve">are meeting </w:t>
      </w:r>
      <w:r w:rsidR="00EC6ED9">
        <w:rPr>
          <w:rFonts w:cstheme="minorHAnsi"/>
        </w:rPr>
        <w:t>the desired</w:t>
      </w:r>
      <w:r w:rsidRPr="00886B59">
        <w:rPr>
          <w:rFonts w:cstheme="minorHAnsi"/>
        </w:rPr>
        <w:t xml:space="preserve"> regulatory and technical capabilities, development and upskilling opportunities remain</w:t>
      </w:r>
      <w:r w:rsidR="00881F95">
        <w:rPr>
          <w:rFonts w:cstheme="minorHAnsi"/>
        </w:rPr>
        <w:t>.</w:t>
      </w:r>
      <w:r w:rsidRPr="00886B59">
        <w:rPr>
          <w:rFonts w:cstheme="minorHAnsi"/>
          <w:vertAlign w:val="superscript"/>
        </w:rPr>
        <w:footnoteReference w:id="108"/>
      </w:r>
    </w:p>
    <w:p w14:paraId="0C370B80" w14:textId="4ECF4FF6" w:rsidR="00A86C9E" w:rsidRPr="00886B59" w:rsidRDefault="00A86C9E" w:rsidP="00975036">
      <w:pPr>
        <w:pStyle w:val="numberedtext"/>
        <w:numPr>
          <w:ilvl w:val="0"/>
          <w:numId w:val="23"/>
        </w:numPr>
        <w:rPr>
          <w:rFonts w:cstheme="minorHAnsi"/>
        </w:rPr>
      </w:pPr>
      <w:r w:rsidRPr="00886B59">
        <w:rPr>
          <w:rFonts w:cstheme="minorHAnsi"/>
        </w:rPr>
        <w:t xml:space="preserve">In response to stakeholder concerns </w:t>
      </w:r>
      <w:r w:rsidR="00864C8B">
        <w:rPr>
          <w:rFonts w:cstheme="minorHAnsi"/>
        </w:rPr>
        <w:t>about</w:t>
      </w:r>
      <w:r w:rsidRPr="00886B59">
        <w:rPr>
          <w:rFonts w:cstheme="minorHAnsi"/>
        </w:rPr>
        <w:t xml:space="preserve"> market experience, ASIC noted that as at the last comprehensive assessment of staff qualifications and experience in 2016, 80% of staff externally recruited into E</w:t>
      </w:r>
      <w:r w:rsidR="002E5397">
        <w:rPr>
          <w:rFonts w:cstheme="minorHAnsi"/>
        </w:rPr>
        <w:t xml:space="preserve">xecutive </w:t>
      </w:r>
      <w:r w:rsidRPr="00886B59">
        <w:rPr>
          <w:rFonts w:cstheme="minorHAnsi"/>
        </w:rPr>
        <w:t>L</w:t>
      </w:r>
      <w:r w:rsidR="002E5397">
        <w:rPr>
          <w:rFonts w:cstheme="minorHAnsi"/>
        </w:rPr>
        <w:t xml:space="preserve">evel </w:t>
      </w:r>
      <w:r w:rsidRPr="00886B59">
        <w:rPr>
          <w:rFonts w:cstheme="minorHAnsi"/>
        </w:rPr>
        <w:t>1 roles and above had industry experience (49% in financial services).</w:t>
      </w:r>
      <w:r w:rsidRPr="00886B59">
        <w:rPr>
          <w:rFonts w:cstheme="minorHAnsi"/>
          <w:vertAlign w:val="superscript"/>
        </w:rPr>
        <w:footnoteReference w:id="109"/>
      </w:r>
      <w:r w:rsidRPr="00886B59">
        <w:rPr>
          <w:rFonts w:cstheme="minorHAnsi"/>
        </w:rPr>
        <w:t xml:space="preserve"> ASIC also considers that many teams have strong industry experience (for example, in 2021 the </w:t>
      </w:r>
      <w:r w:rsidR="005139AA">
        <w:rPr>
          <w:rFonts w:cstheme="minorHAnsi"/>
        </w:rPr>
        <w:t>F</w:t>
      </w:r>
      <w:r w:rsidRPr="00886B59">
        <w:rPr>
          <w:rFonts w:cstheme="minorHAnsi"/>
        </w:rPr>
        <w:t xml:space="preserve">inancial </w:t>
      </w:r>
      <w:r w:rsidR="005139AA">
        <w:rPr>
          <w:rFonts w:cstheme="minorHAnsi"/>
        </w:rPr>
        <w:t>A</w:t>
      </w:r>
      <w:r w:rsidRPr="00886B59">
        <w:rPr>
          <w:rFonts w:cstheme="minorHAnsi"/>
        </w:rPr>
        <w:t xml:space="preserve">dvisers team found that 45% of team members had experience in the financial advice industry, with a further 27% having experience in other parts of the financial service industry). </w:t>
      </w:r>
    </w:p>
    <w:p w14:paraId="36C0E1A7" w14:textId="7F580275" w:rsidR="00A86C9E" w:rsidRPr="00886B59" w:rsidRDefault="00A86C9E" w:rsidP="00975036">
      <w:pPr>
        <w:pStyle w:val="numberedtext"/>
        <w:numPr>
          <w:ilvl w:val="0"/>
          <w:numId w:val="23"/>
        </w:numPr>
        <w:rPr>
          <w:rFonts w:cstheme="minorHAnsi"/>
        </w:rPr>
      </w:pPr>
      <w:r w:rsidRPr="00886B59">
        <w:rPr>
          <w:rFonts w:cstheme="minorHAnsi"/>
        </w:rPr>
        <w:t>ASIC is developing a learning strategy to address the gaps identified during staff self</w:t>
      </w:r>
      <w:r w:rsidR="00EF40B0">
        <w:rPr>
          <w:rFonts w:cstheme="minorHAnsi"/>
        </w:rPr>
        <w:noBreakHyphen/>
      </w:r>
      <w:r w:rsidRPr="00886B59">
        <w:rPr>
          <w:rFonts w:cstheme="minorHAnsi"/>
        </w:rPr>
        <w:t>assessments, as well as a strategy to uplift staff digital capabilities as part of its Digital Uplift program. ASIC is working with the Gartner Group to ensure it has the right skills, capability and culture across the planning, delivery and operation of ASIC</w:t>
      </w:r>
      <w:r w:rsidR="00EF40B0">
        <w:rPr>
          <w:rFonts w:cstheme="minorHAnsi"/>
        </w:rPr>
        <w:t>’</w:t>
      </w:r>
      <w:r w:rsidRPr="00886B59">
        <w:rPr>
          <w:rFonts w:cstheme="minorHAnsi"/>
        </w:rPr>
        <w:t xml:space="preserve">s </w:t>
      </w:r>
      <w:r w:rsidR="00C91345">
        <w:rPr>
          <w:rFonts w:cstheme="minorHAnsi"/>
        </w:rPr>
        <w:t>digital transformation</w:t>
      </w:r>
      <w:r w:rsidRPr="00886B59">
        <w:rPr>
          <w:rFonts w:cstheme="minorHAnsi"/>
        </w:rPr>
        <w:t>. The Gartner Group</w:t>
      </w:r>
      <w:r w:rsidR="00EF40B0">
        <w:rPr>
          <w:rFonts w:cstheme="minorHAnsi"/>
        </w:rPr>
        <w:t>’</w:t>
      </w:r>
      <w:r w:rsidRPr="00886B59">
        <w:rPr>
          <w:rFonts w:cstheme="minorHAnsi"/>
        </w:rPr>
        <w:t>s work with ASIC focuses on cultural change and user experience enhancements. These initiatives are supported by a broader People Strategy, which ASIC recently finalised and will begin implementing over the next 12 to 24 months</w:t>
      </w:r>
      <w:r w:rsidR="00B5486C">
        <w:rPr>
          <w:rFonts w:cstheme="minorHAnsi"/>
        </w:rPr>
        <w:t>.</w:t>
      </w:r>
      <w:r w:rsidRPr="00886B59">
        <w:rPr>
          <w:rFonts w:cstheme="minorHAnsi"/>
          <w:vertAlign w:val="superscript"/>
        </w:rPr>
        <w:footnoteReference w:id="110"/>
      </w:r>
    </w:p>
    <w:p w14:paraId="209D8755" w14:textId="01D04DE8" w:rsidR="00A86C9E" w:rsidRPr="00886B59" w:rsidRDefault="00A86C9E" w:rsidP="00975036">
      <w:pPr>
        <w:pStyle w:val="numberedtext"/>
        <w:numPr>
          <w:ilvl w:val="0"/>
          <w:numId w:val="23"/>
        </w:numPr>
        <w:rPr>
          <w:rFonts w:cstheme="minorHAnsi"/>
        </w:rPr>
      </w:pPr>
      <w:bookmarkStart w:id="101" w:name="_Ref110262916"/>
      <w:r w:rsidRPr="00886B59">
        <w:rPr>
          <w:rFonts w:cstheme="minorHAnsi"/>
        </w:rPr>
        <w:t xml:space="preserve">ASIC also informed the FRAA that since the creation of the </w:t>
      </w:r>
      <w:r w:rsidR="00E55061">
        <w:rPr>
          <w:rFonts w:cstheme="minorHAnsi"/>
        </w:rPr>
        <w:t>C</w:t>
      </w:r>
      <w:r w:rsidRPr="00886B59">
        <w:rPr>
          <w:rFonts w:cstheme="minorHAnsi"/>
        </w:rPr>
        <w:t xml:space="preserve">hief </w:t>
      </w:r>
      <w:r w:rsidR="00E55061">
        <w:rPr>
          <w:rFonts w:cstheme="minorHAnsi"/>
        </w:rPr>
        <w:t>D</w:t>
      </w:r>
      <w:r w:rsidRPr="00886B59">
        <w:rPr>
          <w:rFonts w:cstheme="minorHAnsi"/>
        </w:rPr>
        <w:t xml:space="preserve">ata and </w:t>
      </w:r>
      <w:r w:rsidR="00E55061">
        <w:rPr>
          <w:rFonts w:cstheme="minorHAnsi"/>
        </w:rPr>
        <w:t>A</w:t>
      </w:r>
      <w:r w:rsidRPr="00886B59">
        <w:rPr>
          <w:rFonts w:cstheme="minorHAnsi"/>
        </w:rPr>
        <w:t xml:space="preserve">nalytics </w:t>
      </w:r>
      <w:r w:rsidR="00E55061">
        <w:rPr>
          <w:rFonts w:cstheme="minorHAnsi"/>
        </w:rPr>
        <w:t>O</w:t>
      </w:r>
      <w:r w:rsidRPr="00886B59">
        <w:rPr>
          <w:rFonts w:cstheme="minorHAnsi"/>
        </w:rPr>
        <w:t xml:space="preserve">fficer </w:t>
      </w:r>
      <w:r w:rsidR="003D0FAC">
        <w:rPr>
          <w:rFonts w:cstheme="minorHAnsi"/>
        </w:rPr>
        <w:t xml:space="preserve">role </w:t>
      </w:r>
      <w:r w:rsidRPr="00886B59">
        <w:rPr>
          <w:rFonts w:cstheme="minorHAnsi"/>
        </w:rPr>
        <w:t xml:space="preserve">and the </w:t>
      </w:r>
      <w:r w:rsidR="00EF40B0">
        <w:rPr>
          <w:rFonts w:cstheme="minorHAnsi"/>
        </w:rPr>
        <w:t>‘</w:t>
      </w:r>
      <w:r w:rsidRPr="00886B59">
        <w:rPr>
          <w:rFonts w:cstheme="minorHAnsi"/>
        </w:rPr>
        <w:t>hub and spokes</w:t>
      </w:r>
      <w:r w:rsidR="00EF40B0">
        <w:rPr>
          <w:rFonts w:cstheme="minorHAnsi"/>
        </w:rPr>
        <w:t>’</w:t>
      </w:r>
      <w:r w:rsidRPr="00886B59">
        <w:rPr>
          <w:rFonts w:cstheme="minorHAnsi"/>
        </w:rPr>
        <w:t xml:space="preserve"> data governance model (refer </w:t>
      </w:r>
      <w:r w:rsidR="001300EC">
        <w:rPr>
          <w:rFonts w:cstheme="minorHAnsi"/>
        </w:rPr>
        <w:t xml:space="preserve">paragraph </w:t>
      </w:r>
      <w:r w:rsidR="00A6032A">
        <w:rPr>
          <w:rFonts w:cstheme="minorHAnsi"/>
        </w:rPr>
        <w:t>4.65</w:t>
      </w:r>
      <w:r w:rsidRPr="00886B59">
        <w:rPr>
          <w:rFonts w:cstheme="minorHAnsi"/>
        </w:rPr>
        <w:t>), there has been an increase in qualifications and experience in digital and data analytics.</w:t>
      </w:r>
      <w:r w:rsidRPr="00886B59">
        <w:rPr>
          <w:rFonts w:cstheme="minorHAnsi"/>
          <w:vertAlign w:val="superscript"/>
        </w:rPr>
        <w:footnoteReference w:id="111"/>
      </w:r>
      <w:r w:rsidRPr="00886B59">
        <w:rPr>
          <w:rFonts w:cstheme="minorHAnsi"/>
        </w:rPr>
        <w:t xml:space="preserve"> ASIC has also adjusted the allocation of graduate placements to reflect priorities and future capability needs, and in 2023 will target areas such as mathematics, statistics, IT and data and analytics.</w:t>
      </w:r>
      <w:bookmarkEnd w:id="101"/>
    </w:p>
    <w:p w14:paraId="565D7C2E" w14:textId="300276C3" w:rsidR="00A86C9E" w:rsidRPr="00886B59" w:rsidRDefault="00A86C9E" w:rsidP="00975036">
      <w:pPr>
        <w:pStyle w:val="numberedtext"/>
        <w:numPr>
          <w:ilvl w:val="0"/>
          <w:numId w:val="23"/>
        </w:numPr>
        <w:rPr>
          <w:rFonts w:cstheme="minorHAnsi"/>
        </w:rPr>
      </w:pPr>
      <w:r w:rsidRPr="00886B59">
        <w:rPr>
          <w:rFonts w:cstheme="minorHAnsi"/>
        </w:rPr>
        <w:t xml:space="preserve">In interviews and focus groups, some commissioners, executive directors and senior leaders spoke about the challenges of staying up to date with emerging threats, such as </w:t>
      </w:r>
      <w:r w:rsidR="003D7F98">
        <w:rPr>
          <w:rFonts w:cstheme="minorHAnsi"/>
        </w:rPr>
        <w:t xml:space="preserve">threats relating to </w:t>
      </w:r>
      <w:r w:rsidRPr="00886B59">
        <w:rPr>
          <w:rFonts w:cstheme="minorHAnsi"/>
        </w:rPr>
        <w:t xml:space="preserve">cyber </w:t>
      </w:r>
      <w:r w:rsidR="00F16FAE">
        <w:rPr>
          <w:rFonts w:cstheme="minorHAnsi"/>
        </w:rPr>
        <w:t>risk</w:t>
      </w:r>
      <w:r w:rsidR="003D7F98">
        <w:rPr>
          <w:rFonts w:cstheme="minorHAnsi"/>
        </w:rPr>
        <w:t xml:space="preserve"> </w:t>
      </w:r>
      <w:r w:rsidRPr="00886B59">
        <w:rPr>
          <w:rFonts w:cstheme="minorHAnsi"/>
        </w:rPr>
        <w:t>and crypto</w:t>
      </w:r>
      <w:r w:rsidR="003D7F98">
        <w:rPr>
          <w:rFonts w:cstheme="minorHAnsi"/>
        </w:rPr>
        <w:t xml:space="preserve"> assets</w:t>
      </w:r>
      <w:r w:rsidRPr="00886B59">
        <w:rPr>
          <w:rFonts w:cstheme="minorHAnsi"/>
        </w:rPr>
        <w:t xml:space="preserve">. ASIC staff </w:t>
      </w:r>
      <w:r w:rsidR="003D7F98">
        <w:rPr>
          <w:rFonts w:cstheme="minorHAnsi"/>
        </w:rPr>
        <w:t xml:space="preserve">members </w:t>
      </w:r>
      <w:r w:rsidRPr="00886B59">
        <w:rPr>
          <w:rFonts w:cstheme="minorHAnsi"/>
        </w:rPr>
        <w:t xml:space="preserve">agreed with this sentiment, with only 29% agreeing that they have access to expertise in </w:t>
      </w:r>
      <w:r w:rsidR="00EF40B0">
        <w:rPr>
          <w:rFonts w:cstheme="minorHAnsi"/>
        </w:rPr>
        <w:t>‘</w:t>
      </w:r>
      <w:r w:rsidRPr="00886B59">
        <w:rPr>
          <w:rFonts w:cstheme="minorHAnsi"/>
        </w:rPr>
        <w:t>emerging areas</w:t>
      </w:r>
      <w:r w:rsidR="00EF40B0">
        <w:rPr>
          <w:rFonts w:cstheme="minorHAnsi"/>
        </w:rPr>
        <w:t>’</w:t>
      </w:r>
      <w:r w:rsidRPr="00886B59">
        <w:rPr>
          <w:rFonts w:cstheme="minorHAnsi"/>
        </w:rPr>
        <w:t>.</w:t>
      </w:r>
      <w:r w:rsidRPr="00886B59">
        <w:rPr>
          <w:rFonts w:cstheme="minorHAnsi"/>
          <w:vertAlign w:val="superscript"/>
        </w:rPr>
        <w:footnoteReference w:id="112"/>
      </w:r>
      <w:r w:rsidRPr="00886B59">
        <w:rPr>
          <w:rFonts w:cstheme="minorHAnsi"/>
          <w:vertAlign w:val="superscript"/>
        </w:rPr>
        <w:t xml:space="preserve"> </w:t>
      </w:r>
    </w:p>
    <w:p w14:paraId="5B71C24E" w14:textId="5B447199" w:rsidR="00A86C9E" w:rsidRPr="00F7690E" w:rsidRDefault="00EF40B0" w:rsidP="007D4979">
      <w:pPr>
        <w:pStyle w:val="Quote"/>
      </w:pPr>
      <w:r>
        <w:lastRenderedPageBreak/>
        <w:t>‘</w:t>
      </w:r>
      <w:r w:rsidR="00A86C9E" w:rsidRPr="00F7690E">
        <w:t>ASIC does not have sufficient AI, crypto and cyber experience, nor does it seem to cultivate these skills in its staff</w:t>
      </w:r>
      <w:r w:rsidR="001300EC">
        <w:t>.</w:t>
      </w:r>
      <w:r>
        <w:t>’</w:t>
      </w:r>
      <w:r w:rsidR="00A86C9E" w:rsidRPr="00F7690E">
        <w:t xml:space="preserve"> </w:t>
      </w:r>
      <w:r w:rsidR="001300EC">
        <w:t>–</w:t>
      </w:r>
      <w:r w:rsidR="00A86C9E" w:rsidRPr="00F7690E">
        <w:t xml:space="preserve"> Staff survey</w:t>
      </w:r>
    </w:p>
    <w:p w14:paraId="3638231F" w14:textId="0C658BB4" w:rsidR="00A86C9E" w:rsidRDefault="00EF40B0" w:rsidP="007D4979">
      <w:pPr>
        <w:pStyle w:val="Quote"/>
      </w:pPr>
      <w:r>
        <w:t>‘</w:t>
      </w:r>
      <w:r w:rsidR="00A86C9E" w:rsidRPr="00F7690E">
        <w:t xml:space="preserve">[ASIC] </w:t>
      </w:r>
      <w:r w:rsidR="00A86C9E" w:rsidRPr="00D97B7D">
        <w:t>need</w:t>
      </w:r>
      <w:r w:rsidR="00A86C9E" w:rsidRPr="00F7690E">
        <w:t>[s] more experts in cyber and crypto areas</w:t>
      </w:r>
      <w:r w:rsidR="001300EC">
        <w:t>.</w:t>
      </w:r>
      <w:r>
        <w:t>’</w:t>
      </w:r>
      <w:r w:rsidR="00A86C9E" w:rsidRPr="00F7690E">
        <w:t xml:space="preserve"> </w:t>
      </w:r>
      <w:r w:rsidR="001300EC">
        <w:t>–</w:t>
      </w:r>
      <w:r w:rsidR="00A86C9E" w:rsidRPr="00F7690E">
        <w:t xml:space="preserve"> Staff survey</w:t>
      </w:r>
      <w:r w:rsidR="00A86C9E" w:rsidRPr="0084346A">
        <w:rPr>
          <w:rStyle w:val="FootnoteReference"/>
          <w:rFonts w:cstheme="minorHAnsi"/>
        </w:rPr>
        <w:t xml:space="preserve"> </w:t>
      </w:r>
    </w:p>
    <w:p w14:paraId="22A82E9C" w14:textId="0A6B2934" w:rsidR="00A86C9E" w:rsidRPr="00886B59" w:rsidRDefault="001F6C5F" w:rsidP="00975036">
      <w:pPr>
        <w:pStyle w:val="numberedtext"/>
        <w:numPr>
          <w:ilvl w:val="0"/>
          <w:numId w:val="23"/>
        </w:numPr>
      </w:pPr>
      <w:r w:rsidRPr="13C4F07B">
        <w:t>International peer regulators are also experiencing the challenges of recruiting and retaining skilled staff in emerging areas. The U</w:t>
      </w:r>
      <w:r w:rsidR="00255CC9">
        <w:t xml:space="preserve">nited </w:t>
      </w:r>
      <w:r w:rsidRPr="13C4F07B">
        <w:t>S</w:t>
      </w:r>
      <w:r w:rsidR="00255CC9">
        <w:t>tates</w:t>
      </w:r>
      <w:r w:rsidR="00EF40B0">
        <w:t>’</w:t>
      </w:r>
      <w:r w:rsidRPr="13C4F07B">
        <w:t xml:space="preserve"> Securities and Exchange Commission </w:t>
      </w:r>
      <w:r w:rsidR="00FC27CD">
        <w:t>(SEC)</w:t>
      </w:r>
      <w:r w:rsidRPr="13C4F07B">
        <w:t xml:space="preserve"> has established a dedicated team for emerging </w:t>
      </w:r>
      <w:r w:rsidRPr="001F6C5F">
        <w:rPr>
          <w:rFonts w:cstheme="minorHAnsi"/>
        </w:rPr>
        <w:t>threats</w:t>
      </w:r>
      <w:r w:rsidRPr="13C4F07B">
        <w:t xml:space="preserve">, </w:t>
      </w:r>
      <w:r w:rsidRPr="001F6C5F">
        <w:rPr>
          <w:rFonts w:cstheme="minorHAnsi"/>
        </w:rPr>
        <w:t>that will</w:t>
      </w:r>
      <w:r w:rsidRPr="13C4F07B">
        <w:t xml:space="preserve"> proactively </w:t>
      </w:r>
      <w:r w:rsidRPr="001F6C5F">
        <w:rPr>
          <w:rFonts w:cstheme="minorHAnsi"/>
        </w:rPr>
        <w:t xml:space="preserve">engage </w:t>
      </w:r>
      <w:r w:rsidRPr="13C4F07B">
        <w:t xml:space="preserve">with financial firms and </w:t>
      </w:r>
      <w:r w:rsidRPr="001F6C5F">
        <w:rPr>
          <w:rFonts w:cstheme="minorHAnsi"/>
        </w:rPr>
        <w:t>provide expertise to</w:t>
      </w:r>
      <w:r w:rsidRPr="13C4F07B">
        <w:t xml:space="preserve"> other areas </w:t>
      </w:r>
      <w:r w:rsidRPr="001F6C5F">
        <w:rPr>
          <w:rFonts w:cstheme="minorHAnsi"/>
        </w:rPr>
        <w:t>of the SEC</w:t>
      </w:r>
      <w:r w:rsidR="00A86C9E" w:rsidRPr="13C4F07B">
        <w:t>.</w:t>
      </w:r>
      <w:r w:rsidR="00A86C9E" w:rsidRPr="00886B59">
        <w:rPr>
          <w:vertAlign w:val="superscript"/>
        </w:rPr>
        <w:footnoteReference w:id="113"/>
      </w:r>
      <w:r w:rsidR="00A86C9E" w:rsidRPr="13C4F07B">
        <w:rPr>
          <w:vertAlign w:val="superscript"/>
        </w:rPr>
        <w:t xml:space="preserve"> </w:t>
      </w:r>
    </w:p>
    <w:p w14:paraId="2910E20D" w14:textId="17B84259" w:rsidR="00A86C9E" w:rsidRPr="00AF2F75" w:rsidRDefault="00A86C9E" w:rsidP="00975036">
      <w:pPr>
        <w:pStyle w:val="numberedtext"/>
        <w:numPr>
          <w:ilvl w:val="0"/>
          <w:numId w:val="23"/>
        </w:numPr>
        <w:rPr>
          <w:rFonts w:cstheme="minorHAnsi"/>
        </w:rPr>
      </w:pPr>
      <w:r w:rsidRPr="00AF2F75">
        <w:rPr>
          <w:rFonts w:cstheme="minorHAnsi"/>
        </w:rPr>
        <w:t>Recognising the need for development in these emerging areas, as part of its current business planning process</w:t>
      </w:r>
      <w:r w:rsidR="00E57763">
        <w:rPr>
          <w:rFonts w:cstheme="minorHAnsi"/>
        </w:rPr>
        <w:t>,</w:t>
      </w:r>
      <w:r w:rsidRPr="00AF2F75">
        <w:rPr>
          <w:rFonts w:cstheme="minorHAnsi"/>
        </w:rPr>
        <w:t xml:space="preserve"> ASIC has identified crypto and cyber as major work areas that will be appropriately resourced and have their own governance structure under an accountable executive director.</w:t>
      </w:r>
    </w:p>
    <w:p w14:paraId="07BCDC3A" w14:textId="188FD754" w:rsidR="00A86C9E" w:rsidRPr="00AF2F75" w:rsidRDefault="00A86C9E" w:rsidP="00975036">
      <w:pPr>
        <w:pStyle w:val="numberedtext"/>
        <w:numPr>
          <w:ilvl w:val="0"/>
          <w:numId w:val="23"/>
        </w:numPr>
        <w:rPr>
          <w:rFonts w:cstheme="minorHAnsi"/>
        </w:rPr>
      </w:pPr>
      <w:r w:rsidRPr="00AF2F75">
        <w:rPr>
          <w:rFonts w:cstheme="minorHAnsi"/>
        </w:rPr>
        <w:t xml:space="preserve">The FRAA considers that ASIC should continue to focus on developing and maintaining the right mix of skills to ensure it remains effective into the future. Noting the importance of industry experience in an effective surveillance function, the FRAA encourages ASIC to continue recruiting staff </w:t>
      </w:r>
      <w:r w:rsidR="00850091">
        <w:rPr>
          <w:rFonts w:cstheme="minorHAnsi"/>
        </w:rPr>
        <w:t xml:space="preserve">members </w:t>
      </w:r>
      <w:r w:rsidRPr="00AF2F75">
        <w:rPr>
          <w:rFonts w:cstheme="minorHAnsi"/>
        </w:rPr>
        <w:t>with appropriate regulatory and market experience, including a focus on increasing qualifications and experience in digital and data analytics. Where appropriate, ASIC should look to engage private</w:t>
      </w:r>
      <w:r w:rsidR="00EF40B0">
        <w:rPr>
          <w:rFonts w:cstheme="minorHAnsi"/>
        </w:rPr>
        <w:noBreakHyphen/>
      </w:r>
      <w:r w:rsidRPr="00AF2F75">
        <w:rPr>
          <w:rFonts w:cstheme="minorHAnsi"/>
        </w:rPr>
        <w:t>sector professionals or representatives from financial institutions to conduct in</w:t>
      </w:r>
      <w:r w:rsidR="00EF40B0">
        <w:rPr>
          <w:rFonts w:cstheme="minorHAnsi"/>
        </w:rPr>
        <w:noBreakHyphen/>
      </w:r>
      <w:r w:rsidRPr="00AF2F75">
        <w:rPr>
          <w:rFonts w:cstheme="minorHAnsi"/>
        </w:rPr>
        <w:t xml:space="preserve">house seminars and training for ASIC staff to help increase industry knowledge. </w:t>
      </w:r>
    </w:p>
    <w:p w14:paraId="735945D4" w14:textId="77777777" w:rsidR="00A86C9E" w:rsidRPr="00D024EA" w:rsidRDefault="00A86C9E" w:rsidP="00D024EA">
      <w:pPr>
        <w:pStyle w:val="Heading4"/>
      </w:pPr>
      <w:r w:rsidRPr="00D024EA">
        <w:t>Surveillance systems</w:t>
      </w:r>
    </w:p>
    <w:p w14:paraId="42D8CF06" w14:textId="1AB43F3F" w:rsidR="00A86C9E" w:rsidRPr="00AF2F75" w:rsidRDefault="00A86C9E" w:rsidP="00975036">
      <w:pPr>
        <w:pStyle w:val="numberedtext"/>
        <w:numPr>
          <w:ilvl w:val="0"/>
          <w:numId w:val="23"/>
        </w:numPr>
        <w:rPr>
          <w:rFonts w:cstheme="minorHAnsi"/>
        </w:rPr>
      </w:pPr>
      <w:r w:rsidRPr="00AF2F75">
        <w:rPr>
          <w:rFonts w:cstheme="minorHAnsi"/>
        </w:rPr>
        <w:t xml:space="preserve">Data and technology capability across the Markets </w:t>
      </w:r>
      <w:r w:rsidR="007B617D">
        <w:rPr>
          <w:rFonts w:cstheme="minorHAnsi"/>
        </w:rPr>
        <w:t>G</w:t>
      </w:r>
      <w:r w:rsidRPr="00AF2F75">
        <w:rPr>
          <w:rFonts w:cstheme="minorHAnsi"/>
        </w:rPr>
        <w:t xml:space="preserve">roup and </w:t>
      </w:r>
      <w:r w:rsidR="00E450EE">
        <w:rPr>
          <w:rFonts w:cstheme="minorHAnsi"/>
        </w:rPr>
        <w:t>the</w:t>
      </w:r>
      <w:r w:rsidRPr="00AF2F75">
        <w:rPr>
          <w:rFonts w:cstheme="minorHAnsi"/>
        </w:rPr>
        <w:t xml:space="preserve"> Financial Services and Wealth </w:t>
      </w:r>
      <w:r w:rsidR="008909D5">
        <w:rPr>
          <w:rFonts w:cstheme="minorHAnsi"/>
        </w:rPr>
        <w:t>G</w:t>
      </w:r>
      <w:r w:rsidRPr="00AF2F75">
        <w:rPr>
          <w:rFonts w:cstheme="minorHAnsi"/>
        </w:rPr>
        <w:t xml:space="preserve">roup is varied. </w:t>
      </w:r>
    </w:p>
    <w:p w14:paraId="128B0082" w14:textId="3B8A002E" w:rsidR="00A86C9E" w:rsidRPr="00AF2F75" w:rsidRDefault="00A86C9E" w:rsidP="00975036">
      <w:pPr>
        <w:pStyle w:val="numberedtext"/>
        <w:numPr>
          <w:ilvl w:val="0"/>
          <w:numId w:val="23"/>
        </w:numPr>
        <w:rPr>
          <w:rFonts w:cstheme="minorHAnsi"/>
        </w:rPr>
      </w:pPr>
      <w:r w:rsidRPr="00AF2F75">
        <w:rPr>
          <w:rFonts w:cstheme="minorHAnsi"/>
        </w:rPr>
        <w:t>ASIC staff and external stakeholders view ASIC</w:t>
      </w:r>
      <w:r w:rsidR="00EF40B0">
        <w:rPr>
          <w:rFonts w:cstheme="minorHAnsi"/>
        </w:rPr>
        <w:t>’</w:t>
      </w:r>
      <w:r w:rsidRPr="00AF2F75">
        <w:rPr>
          <w:rFonts w:cstheme="minorHAnsi"/>
        </w:rPr>
        <w:t xml:space="preserve">s Markets </w:t>
      </w:r>
      <w:r w:rsidR="008909D5">
        <w:rPr>
          <w:rFonts w:cstheme="minorHAnsi"/>
        </w:rPr>
        <w:t>G</w:t>
      </w:r>
      <w:r w:rsidRPr="00AF2F75">
        <w:rPr>
          <w:rFonts w:cstheme="minorHAnsi"/>
        </w:rPr>
        <w:t>roup surveillance data and technology platforms as advanced, especially in listed equity markets surveillance.</w:t>
      </w:r>
      <w:r w:rsidRPr="00AF2F75">
        <w:rPr>
          <w:rFonts w:cstheme="minorHAnsi"/>
          <w:vertAlign w:val="superscript"/>
        </w:rPr>
        <w:footnoteReference w:id="114"/>
      </w:r>
      <w:r w:rsidRPr="00AF2F75">
        <w:rPr>
          <w:rFonts w:cstheme="minorHAnsi"/>
        </w:rPr>
        <w:t xml:space="preserve"> This capability has been developed in part through access to real</w:t>
      </w:r>
      <w:r w:rsidR="00EF40B0">
        <w:rPr>
          <w:rFonts w:cstheme="minorHAnsi"/>
        </w:rPr>
        <w:noBreakHyphen/>
      </w:r>
      <w:r w:rsidRPr="00AF2F75">
        <w:rPr>
          <w:rFonts w:cstheme="minorHAnsi"/>
        </w:rPr>
        <w:t xml:space="preserve">time data and 2 rounds of Government funding, which was used to develop sophisticated data analytics technology (for example, the Markets Assessment Intelligence system detailed in </w:t>
      </w:r>
      <w:r w:rsidR="00A6032A" w:rsidRPr="00B13AF9">
        <w:t>Box 4.1</w:t>
      </w:r>
      <w:r w:rsidRPr="00AF2F75">
        <w:rPr>
          <w:rFonts w:cstheme="minorHAnsi"/>
        </w:rPr>
        <w:t>).</w:t>
      </w:r>
    </w:p>
    <w:p w14:paraId="799F4135" w14:textId="1E15E0BA" w:rsidR="00A86C9E" w:rsidRPr="00AF2F75" w:rsidRDefault="00A86C9E" w:rsidP="00975036">
      <w:pPr>
        <w:pStyle w:val="numberedtext"/>
        <w:numPr>
          <w:ilvl w:val="0"/>
          <w:numId w:val="23"/>
        </w:numPr>
        <w:rPr>
          <w:rFonts w:cstheme="minorHAnsi"/>
        </w:rPr>
      </w:pPr>
      <w:r w:rsidRPr="00AF2F75">
        <w:rPr>
          <w:rFonts w:cstheme="minorHAnsi"/>
        </w:rPr>
        <w:t xml:space="preserve">In the Financial Services and Wealth </w:t>
      </w:r>
      <w:r w:rsidR="008909D5">
        <w:rPr>
          <w:rFonts w:cstheme="minorHAnsi"/>
        </w:rPr>
        <w:t>G</w:t>
      </w:r>
      <w:r w:rsidRPr="00AF2F75">
        <w:rPr>
          <w:rFonts w:cstheme="minorHAnsi"/>
        </w:rPr>
        <w:t xml:space="preserve">roup, teams appear less confident in their use of data and technology. This view was echoed in focus groups and in staff surveys, where Financial Services and Wealth staff </w:t>
      </w:r>
      <w:r w:rsidR="00A5088B">
        <w:rPr>
          <w:rFonts w:cstheme="minorHAnsi"/>
        </w:rPr>
        <w:t xml:space="preserve">members </w:t>
      </w:r>
      <w:r w:rsidRPr="00AF2F75">
        <w:rPr>
          <w:rFonts w:cstheme="minorHAnsi"/>
        </w:rPr>
        <w:t>noted they were inhibited by sub</w:t>
      </w:r>
      <w:r w:rsidR="00E44C61">
        <w:rPr>
          <w:rFonts w:cstheme="minorHAnsi"/>
        </w:rPr>
        <w:t>-</w:t>
      </w:r>
      <w:r w:rsidRPr="00AF2F75">
        <w:rPr>
          <w:rFonts w:cstheme="minorHAnsi"/>
        </w:rPr>
        <w:t>optimal data tools and platforms.</w:t>
      </w:r>
    </w:p>
    <w:p w14:paraId="6D95811E" w14:textId="418F213C" w:rsidR="00A86C9E" w:rsidRPr="00FB4B0A" w:rsidRDefault="00EF40B0" w:rsidP="00FB4B0A">
      <w:pPr>
        <w:pStyle w:val="numberedtext"/>
        <w:ind w:left="567" w:firstLine="0"/>
        <w:rPr>
          <w:i/>
        </w:rPr>
      </w:pPr>
      <w:r>
        <w:rPr>
          <w:i/>
        </w:rPr>
        <w:t>‘</w:t>
      </w:r>
      <w:r w:rsidR="026A8854" w:rsidRPr="00FB4B0A">
        <w:rPr>
          <w:i/>
        </w:rPr>
        <w:t>Investment in technological capabilities such as the use of AI … would be particularly helpful in the detection and assessment of risk and misconduct in the context of high volumes of information.</w:t>
      </w:r>
      <w:r>
        <w:rPr>
          <w:i/>
        </w:rPr>
        <w:t>’</w:t>
      </w:r>
      <w:r w:rsidR="026A8854" w:rsidRPr="00FB4B0A">
        <w:rPr>
          <w:i/>
        </w:rPr>
        <w:t xml:space="preserve"> </w:t>
      </w:r>
      <w:r w:rsidR="00251321">
        <w:rPr>
          <w:i/>
        </w:rPr>
        <w:t xml:space="preserve">– </w:t>
      </w:r>
      <w:r w:rsidR="026A8854" w:rsidRPr="00FB4B0A">
        <w:rPr>
          <w:i/>
        </w:rPr>
        <w:t>Staff survey</w:t>
      </w:r>
    </w:p>
    <w:p w14:paraId="1B874746" w14:textId="16C1129C" w:rsidR="00A86C9E" w:rsidRPr="00AF2F75" w:rsidRDefault="00A86C9E" w:rsidP="00975036">
      <w:pPr>
        <w:pStyle w:val="numberedtext"/>
        <w:numPr>
          <w:ilvl w:val="0"/>
          <w:numId w:val="23"/>
        </w:numPr>
        <w:rPr>
          <w:rFonts w:cstheme="minorHAnsi"/>
        </w:rPr>
      </w:pPr>
      <w:r w:rsidRPr="00AF2F75">
        <w:rPr>
          <w:rFonts w:cstheme="minorHAnsi"/>
        </w:rPr>
        <w:t>Financial Services and Wealth teams are in</w:t>
      </w:r>
      <w:r w:rsidR="00EF40B0">
        <w:rPr>
          <w:rFonts w:cstheme="minorHAnsi"/>
        </w:rPr>
        <w:noBreakHyphen/>
      </w:r>
      <w:r w:rsidRPr="00AF2F75">
        <w:rPr>
          <w:rFonts w:cstheme="minorHAnsi"/>
        </w:rPr>
        <w:t xml:space="preserve">part inhibited by the lack of complete and timely data, because of both the nature of the sectors regulated, as well as the absence of legislative power to collect and publish recurrent data. Consequently, ASIC staff </w:t>
      </w:r>
      <w:r w:rsidR="009C2712">
        <w:rPr>
          <w:rFonts w:cstheme="minorHAnsi"/>
        </w:rPr>
        <w:t xml:space="preserve">members </w:t>
      </w:r>
      <w:r w:rsidRPr="00AF2F75">
        <w:rPr>
          <w:rFonts w:cstheme="minorHAnsi"/>
        </w:rPr>
        <w:t>commented that they must resort to bespoke, one</w:t>
      </w:r>
      <w:r w:rsidR="00EF40B0">
        <w:rPr>
          <w:rFonts w:cstheme="minorHAnsi"/>
        </w:rPr>
        <w:noBreakHyphen/>
      </w:r>
      <w:r w:rsidRPr="00AF2F75">
        <w:rPr>
          <w:rFonts w:cstheme="minorHAnsi"/>
        </w:rPr>
        <w:t xml:space="preserve">off requests to collect data from certain sectors, such as the investment management industry. </w:t>
      </w:r>
    </w:p>
    <w:p w14:paraId="2FC60725" w14:textId="0D7842F9" w:rsidR="00A86C9E" w:rsidRPr="0055673D" w:rsidRDefault="00EF40B0" w:rsidP="007D4979">
      <w:pPr>
        <w:pStyle w:val="Quote"/>
      </w:pPr>
      <w:r>
        <w:t>‘</w:t>
      </w:r>
      <w:r w:rsidR="00A86C9E" w:rsidRPr="0055673D">
        <w:t xml:space="preserve">It would be beneficial to have access to recurrent data (for example in the investment funds sector), in </w:t>
      </w:r>
      <w:r w:rsidR="00A86C9E" w:rsidRPr="00F64547">
        <w:t>order</w:t>
      </w:r>
      <w:r w:rsidR="00A86C9E" w:rsidRPr="0055673D">
        <w:t xml:space="preserve"> to better identify where poor consumer outcomes are occurring or might occur.</w:t>
      </w:r>
      <w:r>
        <w:t>’</w:t>
      </w:r>
      <w:r w:rsidR="00A86C9E" w:rsidRPr="0055673D">
        <w:t xml:space="preserve"> </w:t>
      </w:r>
      <w:r w:rsidR="00251321">
        <w:t xml:space="preserve">– </w:t>
      </w:r>
      <w:r w:rsidR="00A86C9E" w:rsidRPr="0055673D">
        <w:t>Staff survey</w:t>
      </w:r>
    </w:p>
    <w:p w14:paraId="5B0CF18E" w14:textId="1686A370" w:rsidR="00A86C9E" w:rsidRPr="0055673D" w:rsidRDefault="00EF40B0" w:rsidP="007D4979">
      <w:pPr>
        <w:pStyle w:val="Quote"/>
      </w:pPr>
      <w:r>
        <w:lastRenderedPageBreak/>
        <w:t>‘</w:t>
      </w:r>
      <w:r w:rsidR="00A86C9E" w:rsidRPr="0055673D">
        <w:t xml:space="preserve">It would be great if ASIC could resume its good work to collect data [on a recurrent basis prior to </w:t>
      </w:r>
      <w:r w:rsidR="00A86C9E" w:rsidRPr="00F64547">
        <w:t>COVID</w:t>
      </w:r>
      <w:r>
        <w:noBreakHyphen/>
      </w:r>
      <w:r w:rsidR="00A86C9E" w:rsidRPr="0055673D">
        <w:t>19], as we don</w:t>
      </w:r>
      <w:r>
        <w:t>’</w:t>
      </w:r>
      <w:r w:rsidR="00A86C9E" w:rsidRPr="0055673D">
        <w:t>t always have clear visibility of our regulated entities and it is a limitation on our ability to be an innovative regulator.</w:t>
      </w:r>
      <w:r>
        <w:t>’</w:t>
      </w:r>
      <w:r w:rsidR="00A86C9E" w:rsidRPr="0055673D">
        <w:t xml:space="preserve"> </w:t>
      </w:r>
      <w:r w:rsidR="00251321">
        <w:t xml:space="preserve">– </w:t>
      </w:r>
      <w:r w:rsidR="00A86C9E" w:rsidRPr="0055673D">
        <w:t>Staff survey</w:t>
      </w:r>
    </w:p>
    <w:p w14:paraId="1A9BA9A2" w14:textId="0C8B1267" w:rsidR="00A86C9E" w:rsidRPr="00AF2F75" w:rsidRDefault="00A86C9E" w:rsidP="00975036">
      <w:pPr>
        <w:pStyle w:val="numberedtext"/>
        <w:numPr>
          <w:ilvl w:val="0"/>
          <w:numId w:val="23"/>
        </w:numPr>
        <w:rPr>
          <w:rFonts w:cstheme="minorHAnsi"/>
        </w:rPr>
      </w:pPr>
      <w:r w:rsidRPr="00AF2F75">
        <w:rPr>
          <w:rFonts w:cstheme="minorHAnsi"/>
        </w:rPr>
        <w:t>Where data is available, ASIC staff cited challenges in obtaining and accessing this information. Most staff agreed that they know what information is collected and stored across ASIC that might be useful in their team</w:t>
      </w:r>
      <w:r w:rsidR="00EF40B0">
        <w:rPr>
          <w:rFonts w:cstheme="minorHAnsi"/>
        </w:rPr>
        <w:t>’</w:t>
      </w:r>
      <w:r w:rsidRPr="00AF2F75">
        <w:rPr>
          <w:rFonts w:cstheme="minorHAnsi"/>
        </w:rPr>
        <w:t>s surveillance activities.</w:t>
      </w:r>
      <w:r w:rsidRPr="00AF2F75">
        <w:rPr>
          <w:rFonts w:cstheme="minorHAnsi"/>
          <w:vertAlign w:val="superscript"/>
        </w:rPr>
        <w:footnoteReference w:id="115"/>
      </w:r>
      <w:r w:rsidRPr="00AF2F75">
        <w:rPr>
          <w:rFonts w:cstheme="minorHAnsi"/>
        </w:rPr>
        <w:t xml:space="preserve"> However, staff survey comments noted that accessing this data internally is problematic and that this inhibited their ability to </w:t>
      </w:r>
      <w:r w:rsidR="00174101" w:rsidRPr="00AF2F75">
        <w:rPr>
          <w:rFonts w:cstheme="minorHAnsi"/>
        </w:rPr>
        <w:t>u</w:t>
      </w:r>
      <w:r w:rsidR="00174101">
        <w:rPr>
          <w:rFonts w:cstheme="minorHAnsi"/>
        </w:rPr>
        <w:t>se</w:t>
      </w:r>
      <w:r w:rsidR="00174101" w:rsidRPr="00AF2F75">
        <w:rPr>
          <w:rFonts w:cstheme="minorHAnsi"/>
        </w:rPr>
        <w:t xml:space="preserve"> </w:t>
      </w:r>
      <w:r w:rsidRPr="00AF2F75">
        <w:rPr>
          <w:rFonts w:cstheme="minorHAnsi"/>
        </w:rPr>
        <w:t>data to inform surveillance activities.</w:t>
      </w:r>
    </w:p>
    <w:p w14:paraId="60C7658B" w14:textId="44F6C40E" w:rsidR="00A86C9E" w:rsidRPr="00F7690E" w:rsidRDefault="00EF40B0" w:rsidP="007D4979">
      <w:pPr>
        <w:pStyle w:val="Quote"/>
      </w:pPr>
      <w:r>
        <w:t>‘</w:t>
      </w:r>
      <w:r w:rsidR="00A86C9E" w:rsidRPr="00F7690E">
        <w:t>Data is located on too many systems,</w:t>
      </w:r>
      <w:r w:rsidR="00A86C9E">
        <w:t xml:space="preserve"> [and so staff]</w:t>
      </w:r>
      <w:r w:rsidR="00A86C9E" w:rsidRPr="00F7690E">
        <w:t xml:space="preserve"> cannot form an overall big picture of an entity or </w:t>
      </w:r>
      <w:r w:rsidR="00A86C9E" w:rsidRPr="004D426B">
        <w:t>organisation</w:t>
      </w:r>
      <w:r w:rsidR="00A86C9E" w:rsidRPr="00F7690E">
        <w:t>.</w:t>
      </w:r>
      <w:r>
        <w:t>’</w:t>
      </w:r>
      <w:r w:rsidR="00A86C9E" w:rsidRPr="00F7690E">
        <w:t xml:space="preserve"> </w:t>
      </w:r>
      <w:r w:rsidR="00251321">
        <w:t xml:space="preserve">– </w:t>
      </w:r>
      <w:r w:rsidR="00A86C9E" w:rsidRPr="00F7690E">
        <w:t>Staff survey</w:t>
      </w:r>
    </w:p>
    <w:p w14:paraId="39B83BF2" w14:textId="311DA17E" w:rsidR="007D4979" w:rsidRPr="00AF2F75" w:rsidRDefault="00A86C9E" w:rsidP="00975036">
      <w:pPr>
        <w:pStyle w:val="numberedtext"/>
        <w:numPr>
          <w:ilvl w:val="0"/>
          <w:numId w:val="23"/>
        </w:numPr>
        <w:rPr>
          <w:rFonts w:cstheme="minorHAnsi"/>
        </w:rPr>
      </w:pPr>
      <w:bookmarkStart w:id="102" w:name="_Ref110256721"/>
      <w:r w:rsidRPr="00AF2F75">
        <w:rPr>
          <w:rFonts w:cstheme="minorHAnsi"/>
        </w:rPr>
        <w:t>The new ASIC CRM system is viewed by ASIC staff as an obstacle to effective surveillances. ASIC staff reported that the poor user interface and design of the new CRM system make tracking, reporting and coordinating surveillance activities difficult and time</w:t>
      </w:r>
      <w:r w:rsidR="00EF40B0">
        <w:rPr>
          <w:rFonts w:cstheme="minorHAnsi"/>
        </w:rPr>
        <w:noBreakHyphen/>
      </w:r>
      <w:r w:rsidRPr="00AF2F75">
        <w:rPr>
          <w:rFonts w:cstheme="minorHAnsi"/>
        </w:rPr>
        <w:t>consuming. Only 22% of ASIC staff agreed that their surveillance activities are supported by an easy</w:t>
      </w:r>
      <w:r w:rsidR="00EF40B0">
        <w:rPr>
          <w:rFonts w:cstheme="minorHAnsi"/>
        </w:rPr>
        <w:noBreakHyphen/>
      </w:r>
      <w:r w:rsidRPr="00AF2F75">
        <w:rPr>
          <w:rFonts w:cstheme="minorHAnsi"/>
        </w:rPr>
        <w:t>to</w:t>
      </w:r>
      <w:r w:rsidR="00EF40B0">
        <w:rPr>
          <w:rFonts w:cstheme="minorHAnsi"/>
        </w:rPr>
        <w:noBreakHyphen/>
      </w:r>
      <w:r w:rsidRPr="00AF2F75">
        <w:rPr>
          <w:rFonts w:cstheme="minorHAnsi"/>
        </w:rPr>
        <w:t>use information management system.</w:t>
      </w:r>
      <w:r w:rsidRPr="00AF2F75">
        <w:rPr>
          <w:rFonts w:cstheme="minorHAnsi"/>
          <w:vertAlign w:val="superscript"/>
        </w:rPr>
        <w:footnoteReference w:id="116"/>
      </w:r>
      <w:r w:rsidRPr="00AF2F75">
        <w:rPr>
          <w:rFonts w:cstheme="minorHAnsi"/>
        </w:rPr>
        <w:t xml:space="preserve"> There was broad feedback from ASIC staff </w:t>
      </w:r>
      <w:r w:rsidR="009C2712">
        <w:rPr>
          <w:rFonts w:cstheme="minorHAnsi"/>
        </w:rPr>
        <w:t xml:space="preserve">members </w:t>
      </w:r>
      <w:r w:rsidRPr="00AF2F75">
        <w:rPr>
          <w:rFonts w:cstheme="minorHAnsi"/>
        </w:rPr>
        <w:t>in the survey, focus groups and interviews around the inadequacy of the CRM system, it being described as time</w:t>
      </w:r>
      <w:r w:rsidR="00EF40B0">
        <w:rPr>
          <w:rFonts w:cstheme="minorHAnsi"/>
        </w:rPr>
        <w:noBreakHyphen/>
      </w:r>
      <w:r w:rsidRPr="00AF2F75">
        <w:rPr>
          <w:rFonts w:cstheme="minorHAnsi"/>
        </w:rPr>
        <w:t>consuming and overly cumbersome.</w:t>
      </w:r>
      <w:r w:rsidR="00235B74">
        <w:rPr>
          <w:rStyle w:val="FootnoteReference"/>
          <w:rFonts w:cstheme="minorHAnsi"/>
        </w:rPr>
        <w:footnoteReference w:id="117"/>
      </w:r>
      <w:bookmarkEnd w:id="102"/>
    </w:p>
    <w:p w14:paraId="4D3CBDB5" w14:textId="3453AA44" w:rsidR="007D4979" w:rsidRDefault="00EF40B0" w:rsidP="007D4979">
      <w:pPr>
        <w:pStyle w:val="Quote"/>
      </w:pPr>
      <w:r>
        <w:t>‘</w:t>
      </w:r>
      <w:r w:rsidR="00A86C9E" w:rsidRPr="00331B77">
        <w:t>[The CRM</w:t>
      </w:r>
      <w:r w:rsidR="006F42F2">
        <w:t xml:space="preserve"> system</w:t>
      </w:r>
      <w:r w:rsidR="00A86C9E" w:rsidRPr="00331B77">
        <w:t>] is a major hindrance</w:t>
      </w:r>
      <w:r w:rsidR="001A1CBE">
        <w:t xml:space="preserve"> – </w:t>
      </w:r>
      <w:r w:rsidR="00A86C9E" w:rsidRPr="00331B77">
        <w:t>hard to search for past work, hard to record information in current work, time [intensive] in managing cases.</w:t>
      </w:r>
      <w:r>
        <w:t>’</w:t>
      </w:r>
      <w:r w:rsidR="00A86C9E" w:rsidRPr="00331B77">
        <w:t xml:space="preserve"> </w:t>
      </w:r>
      <w:r w:rsidR="00251321">
        <w:t xml:space="preserve">– </w:t>
      </w:r>
      <w:r w:rsidR="00A86C9E" w:rsidRPr="00331B77">
        <w:t>Staff survey</w:t>
      </w:r>
    </w:p>
    <w:p w14:paraId="5C8F8074" w14:textId="29770D17" w:rsidR="00A86C9E" w:rsidRDefault="00EF40B0" w:rsidP="007D4979">
      <w:pPr>
        <w:pStyle w:val="Quote"/>
      </w:pPr>
      <w:r>
        <w:t>‘</w:t>
      </w:r>
      <w:r w:rsidR="00A86C9E" w:rsidRPr="00331B77">
        <w:t>Many of the barriers to ASIC</w:t>
      </w:r>
      <w:r>
        <w:t>’</w:t>
      </w:r>
      <w:r w:rsidR="00A86C9E" w:rsidRPr="00331B77">
        <w:t>s supervisory activities relate to the current case management system, which is best described as a barely minimum viable product and takes up significant resources and capacity. This heavily affects information sharing, because teams avoid using the system as it</w:t>
      </w:r>
      <w:r>
        <w:t>’</w:t>
      </w:r>
      <w:r w:rsidR="00A86C9E" w:rsidRPr="00331B77">
        <w:t>s so unfriendly and time consuming, which makes it harder for other teams to learn about our work or access our information.</w:t>
      </w:r>
      <w:r>
        <w:t>’</w:t>
      </w:r>
      <w:r w:rsidR="00A86C9E" w:rsidRPr="00331B77">
        <w:t xml:space="preserve"> </w:t>
      </w:r>
      <w:r w:rsidR="00251321">
        <w:t xml:space="preserve">– </w:t>
      </w:r>
      <w:r w:rsidR="00A86C9E" w:rsidRPr="00331B77">
        <w:t xml:space="preserve">Staff survey </w:t>
      </w:r>
    </w:p>
    <w:p w14:paraId="083FBEC1" w14:textId="429A5742" w:rsidR="00A86C9E" w:rsidRPr="00AF2F75" w:rsidRDefault="00A86C9E" w:rsidP="00975036">
      <w:pPr>
        <w:pStyle w:val="numberedtext"/>
        <w:numPr>
          <w:ilvl w:val="0"/>
          <w:numId w:val="23"/>
        </w:numPr>
        <w:rPr>
          <w:rFonts w:cstheme="minorHAnsi"/>
        </w:rPr>
      </w:pPr>
      <w:r w:rsidRPr="00AF2F75">
        <w:rPr>
          <w:rFonts w:cstheme="minorHAnsi"/>
        </w:rPr>
        <w:t>Additionally, ASIC</w:t>
      </w:r>
      <w:r w:rsidR="00EF40B0">
        <w:rPr>
          <w:rFonts w:cstheme="minorHAnsi"/>
        </w:rPr>
        <w:t>’</w:t>
      </w:r>
      <w:r w:rsidRPr="00AF2F75">
        <w:rPr>
          <w:rFonts w:cstheme="minorHAnsi"/>
        </w:rPr>
        <w:t xml:space="preserve">s centralised data storage platform, the </w:t>
      </w:r>
      <w:r w:rsidR="00EF40B0">
        <w:rPr>
          <w:rFonts w:cstheme="minorHAnsi"/>
        </w:rPr>
        <w:t>‘</w:t>
      </w:r>
      <w:r w:rsidRPr="00AF2F75">
        <w:rPr>
          <w:rFonts w:cstheme="minorHAnsi"/>
        </w:rPr>
        <w:t>data lake</w:t>
      </w:r>
      <w:r w:rsidR="00EF40B0">
        <w:rPr>
          <w:rFonts w:cstheme="minorHAnsi"/>
        </w:rPr>
        <w:t>’</w:t>
      </w:r>
      <w:r w:rsidRPr="00AF2F75">
        <w:rPr>
          <w:rFonts w:cstheme="minorHAnsi"/>
        </w:rPr>
        <w:t>, has not been widely used by ASIC surveillance staff. This is in part due to the limited volume of data currently available on the platform, as well as lack of analyst skill and familiarity with the platform. ASIC notes that it is in the process of connecting its systems and data into the platform, and that analysts</w:t>
      </w:r>
      <w:r w:rsidR="00EF40B0">
        <w:rPr>
          <w:rFonts w:cstheme="minorHAnsi"/>
        </w:rPr>
        <w:t>’</w:t>
      </w:r>
      <w:r w:rsidRPr="00AF2F75">
        <w:rPr>
          <w:rFonts w:cstheme="minorHAnsi"/>
        </w:rPr>
        <w:t xml:space="preserve"> skills are expected to improve over time.</w:t>
      </w:r>
      <w:r w:rsidRPr="00AF2F75">
        <w:rPr>
          <w:rFonts w:cstheme="minorHAnsi"/>
          <w:vertAlign w:val="superscript"/>
        </w:rPr>
        <w:footnoteReference w:id="118"/>
      </w:r>
      <w:r w:rsidRPr="00AF2F75">
        <w:rPr>
          <w:rFonts w:cstheme="minorHAnsi"/>
        </w:rPr>
        <w:t xml:space="preserve"> ASIC has indicated that increasing the subject areas covered by data in the data lake, as well as increasing data literacy generally, are key priorities of the Commission</w:t>
      </w:r>
      <w:r w:rsidR="00C606AD">
        <w:rPr>
          <w:rFonts w:cstheme="minorHAnsi"/>
        </w:rPr>
        <w:t xml:space="preserve">. </w:t>
      </w:r>
    </w:p>
    <w:p w14:paraId="1085B913" w14:textId="20F0A6CB" w:rsidR="00A86C9E" w:rsidRPr="00AF2F75" w:rsidRDefault="00A86C9E" w:rsidP="00975036">
      <w:pPr>
        <w:pStyle w:val="numberedtext"/>
        <w:numPr>
          <w:ilvl w:val="0"/>
          <w:numId w:val="23"/>
        </w:numPr>
        <w:rPr>
          <w:rFonts w:cstheme="minorHAnsi"/>
        </w:rPr>
      </w:pPr>
      <w:bookmarkStart w:id="103" w:name="_Ref110262450"/>
      <w:r w:rsidRPr="00AF2F75">
        <w:rPr>
          <w:rFonts w:cstheme="minorHAnsi"/>
        </w:rPr>
        <w:t xml:space="preserve">To better integrate data and analytics into surveillances, ASIC set up a </w:t>
      </w:r>
      <w:r w:rsidR="00EF40B0">
        <w:rPr>
          <w:rFonts w:cstheme="minorHAnsi"/>
        </w:rPr>
        <w:t>‘</w:t>
      </w:r>
      <w:r w:rsidRPr="00AF2F75">
        <w:rPr>
          <w:rFonts w:cstheme="minorHAnsi"/>
        </w:rPr>
        <w:t>hub</w:t>
      </w:r>
      <w:r w:rsidR="00EF40B0">
        <w:rPr>
          <w:rFonts w:cstheme="minorHAnsi"/>
        </w:rPr>
        <w:noBreakHyphen/>
      </w:r>
      <w:r w:rsidRPr="00AF2F75">
        <w:rPr>
          <w:rFonts w:cstheme="minorHAnsi"/>
        </w:rPr>
        <w:t>and</w:t>
      </w:r>
      <w:r w:rsidR="00EF40B0">
        <w:rPr>
          <w:rFonts w:cstheme="minorHAnsi"/>
        </w:rPr>
        <w:noBreakHyphen/>
      </w:r>
      <w:r w:rsidRPr="00AF2F75">
        <w:rPr>
          <w:rFonts w:cstheme="minorHAnsi"/>
        </w:rPr>
        <w:t>spoke</w:t>
      </w:r>
      <w:r w:rsidR="00EF40B0">
        <w:rPr>
          <w:rFonts w:cstheme="minorHAnsi"/>
        </w:rPr>
        <w:t>’</w:t>
      </w:r>
      <w:r w:rsidRPr="00AF2F75">
        <w:rPr>
          <w:rFonts w:cstheme="minorHAnsi"/>
        </w:rPr>
        <w:t xml:space="preserve"> data governance model in 2020. Under this model the </w:t>
      </w:r>
      <w:r w:rsidR="00747CBA">
        <w:rPr>
          <w:rFonts w:cstheme="minorHAnsi"/>
        </w:rPr>
        <w:t>C</w:t>
      </w:r>
      <w:r w:rsidRPr="00AF2F75">
        <w:rPr>
          <w:rFonts w:cstheme="minorHAnsi"/>
        </w:rPr>
        <w:t xml:space="preserve">hief </w:t>
      </w:r>
      <w:r w:rsidR="00747CBA">
        <w:rPr>
          <w:rFonts w:cstheme="minorHAnsi"/>
        </w:rPr>
        <w:t>D</w:t>
      </w:r>
      <w:r w:rsidRPr="00AF2F75">
        <w:rPr>
          <w:rFonts w:cstheme="minorHAnsi"/>
        </w:rPr>
        <w:t xml:space="preserve">ata and </w:t>
      </w:r>
      <w:r w:rsidR="00747CBA">
        <w:rPr>
          <w:rFonts w:cstheme="minorHAnsi"/>
        </w:rPr>
        <w:t>A</w:t>
      </w:r>
      <w:r w:rsidRPr="00AF2F75">
        <w:rPr>
          <w:rFonts w:cstheme="minorHAnsi"/>
        </w:rPr>
        <w:t xml:space="preserve">nalytics </w:t>
      </w:r>
      <w:r w:rsidR="00747CBA">
        <w:rPr>
          <w:rFonts w:cstheme="minorHAnsi"/>
        </w:rPr>
        <w:t>O</w:t>
      </w:r>
      <w:r w:rsidRPr="00AF2F75">
        <w:rPr>
          <w:rFonts w:cstheme="minorHAnsi"/>
        </w:rPr>
        <w:t>fficer team provides and oversees data and analytical capability uplift initiatives (</w:t>
      </w:r>
      <w:r w:rsidR="00EF40B0">
        <w:rPr>
          <w:rFonts w:cstheme="minorHAnsi"/>
        </w:rPr>
        <w:t>‘</w:t>
      </w:r>
      <w:r w:rsidRPr="00AF2F75">
        <w:rPr>
          <w:rFonts w:cstheme="minorHAnsi"/>
        </w:rPr>
        <w:t>hub</w:t>
      </w:r>
      <w:r w:rsidR="00EF40B0">
        <w:rPr>
          <w:rFonts w:cstheme="minorHAnsi"/>
        </w:rPr>
        <w:t>’</w:t>
      </w:r>
      <w:r w:rsidRPr="00AF2F75">
        <w:rPr>
          <w:rFonts w:cstheme="minorHAnsi"/>
        </w:rPr>
        <w:t>) and data specialists within surveillance teams who facilitate an increase in the use of data for surveillance activities (</w:t>
      </w:r>
      <w:r w:rsidR="00EF40B0">
        <w:rPr>
          <w:rFonts w:cstheme="minorHAnsi"/>
        </w:rPr>
        <w:t>‘</w:t>
      </w:r>
      <w:r w:rsidRPr="00AF2F75">
        <w:rPr>
          <w:rFonts w:cstheme="minorHAnsi"/>
        </w:rPr>
        <w:t>spokes</w:t>
      </w:r>
      <w:r w:rsidR="00EF40B0">
        <w:rPr>
          <w:rFonts w:cstheme="minorHAnsi"/>
        </w:rPr>
        <w:t>’</w:t>
      </w:r>
      <w:r w:rsidRPr="00AF2F75">
        <w:rPr>
          <w:rFonts w:cstheme="minorHAnsi"/>
        </w:rPr>
        <w:t>).</w:t>
      </w:r>
      <w:r w:rsidRPr="00AF2F75">
        <w:rPr>
          <w:rFonts w:cstheme="minorHAnsi"/>
          <w:vertAlign w:val="superscript"/>
        </w:rPr>
        <w:footnoteReference w:id="119"/>
      </w:r>
      <w:r w:rsidRPr="00AF2F75">
        <w:rPr>
          <w:rFonts w:cstheme="minorHAnsi"/>
        </w:rPr>
        <w:t xml:space="preserve"> This is intended to increase the ability of surveillance teams </w:t>
      </w:r>
      <w:r w:rsidRPr="00AF2F75">
        <w:rPr>
          <w:rFonts w:cstheme="minorHAnsi"/>
        </w:rPr>
        <w:lastRenderedPageBreak/>
        <w:t>to process large volumes of data</w:t>
      </w:r>
      <w:r w:rsidR="006A6477">
        <w:rPr>
          <w:rFonts w:cstheme="minorHAnsi"/>
        </w:rPr>
        <w:t>, and to</w:t>
      </w:r>
      <w:r w:rsidRPr="00AF2F75">
        <w:rPr>
          <w:rFonts w:cstheme="minorHAnsi"/>
        </w:rPr>
        <w:t xml:space="preserve"> use analytics to underpin assessments and support decision</w:t>
      </w:r>
      <w:r w:rsidR="00EF40B0">
        <w:rPr>
          <w:rFonts w:cstheme="minorHAnsi"/>
        </w:rPr>
        <w:noBreakHyphen/>
      </w:r>
      <w:r w:rsidRPr="00AF2F75">
        <w:rPr>
          <w:rFonts w:cstheme="minorHAnsi"/>
        </w:rPr>
        <w:t>making.</w:t>
      </w:r>
      <w:bookmarkEnd w:id="103"/>
    </w:p>
    <w:p w14:paraId="7519C1E6" w14:textId="426F61C0" w:rsidR="00A86C9E" w:rsidRPr="00AF2F75" w:rsidRDefault="00A86C9E" w:rsidP="00975036">
      <w:pPr>
        <w:pStyle w:val="numberedtext"/>
        <w:numPr>
          <w:ilvl w:val="0"/>
          <w:numId w:val="23"/>
        </w:numPr>
        <w:rPr>
          <w:rFonts w:cstheme="minorHAnsi"/>
        </w:rPr>
      </w:pPr>
      <w:r w:rsidRPr="00AF2F75">
        <w:rPr>
          <w:rFonts w:cstheme="minorHAnsi"/>
        </w:rPr>
        <w:t>While the hub</w:t>
      </w:r>
      <w:r w:rsidR="00EF40B0">
        <w:rPr>
          <w:rFonts w:cstheme="minorHAnsi"/>
        </w:rPr>
        <w:noBreakHyphen/>
      </w:r>
      <w:r w:rsidRPr="00AF2F75">
        <w:rPr>
          <w:rFonts w:cstheme="minorHAnsi"/>
        </w:rPr>
        <w:t>and</w:t>
      </w:r>
      <w:r w:rsidR="00EF40B0">
        <w:rPr>
          <w:rFonts w:cstheme="minorHAnsi"/>
        </w:rPr>
        <w:noBreakHyphen/>
      </w:r>
      <w:r w:rsidRPr="00AF2F75">
        <w:rPr>
          <w:rFonts w:cstheme="minorHAnsi"/>
        </w:rPr>
        <w:t xml:space="preserve">spoke model holds potential for ASIC to improve its data analytics capabilities, some ASIC staff have raised concerns </w:t>
      </w:r>
      <w:r w:rsidR="00587F53">
        <w:rPr>
          <w:rFonts w:cstheme="minorHAnsi"/>
        </w:rPr>
        <w:t>about</w:t>
      </w:r>
      <w:r w:rsidR="00587F53" w:rsidRPr="00AF2F75">
        <w:rPr>
          <w:rFonts w:cstheme="minorHAnsi"/>
        </w:rPr>
        <w:t xml:space="preserve"> </w:t>
      </w:r>
      <w:r w:rsidRPr="00AF2F75">
        <w:rPr>
          <w:rFonts w:cstheme="minorHAnsi"/>
        </w:rPr>
        <w:t xml:space="preserve">their ability to secure resources for the duration of surveillances, as well as a lack of industry knowledge from the </w:t>
      </w:r>
      <w:r w:rsidR="00EF40B0">
        <w:rPr>
          <w:rFonts w:cstheme="minorHAnsi"/>
        </w:rPr>
        <w:t>‘</w:t>
      </w:r>
      <w:r w:rsidRPr="00AF2F75">
        <w:rPr>
          <w:rFonts w:cstheme="minorHAnsi"/>
        </w:rPr>
        <w:t>spoke</w:t>
      </w:r>
      <w:r w:rsidR="00EF40B0">
        <w:rPr>
          <w:rFonts w:cstheme="minorHAnsi"/>
        </w:rPr>
        <w:t>’</w:t>
      </w:r>
      <w:r w:rsidRPr="00AF2F75">
        <w:rPr>
          <w:rFonts w:cstheme="minorHAnsi"/>
        </w:rPr>
        <w:t xml:space="preserve"> analysts.</w:t>
      </w:r>
    </w:p>
    <w:p w14:paraId="78309700" w14:textId="11475887" w:rsidR="00A86C9E" w:rsidRPr="008500D0" w:rsidRDefault="00EF40B0" w:rsidP="00A86C9E">
      <w:pPr>
        <w:pStyle w:val="ListParagraph"/>
        <w:ind w:left="567"/>
        <w:contextualSpacing w:val="0"/>
        <w:rPr>
          <w:i/>
          <w:szCs w:val="22"/>
        </w:rPr>
      </w:pPr>
      <w:r>
        <w:rPr>
          <w:i/>
          <w:szCs w:val="22"/>
        </w:rPr>
        <w:t>‘</w:t>
      </w:r>
      <w:r w:rsidR="00A86C9E" w:rsidRPr="008500D0">
        <w:rPr>
          <w:i/>
          <w:szCs w:val="22"/>
        </w:rPr>
        <w:t>I have reservations that ASIC has the data analysis capability to understand and draw correct conclusions from the data it collect</w:t>
      </w:r>
      <w:r w:rsidR="00A86C9E">
        <w:rPr>
          <w:i/>
          <w:szCs w:val="22"/>
        </w:rPr>
        <w:t>s</w:t>
      </w:r>
      <w:r w:rsidR="00A86C9E" w:rsidRPr="008500D0">
        <w:rPr>
          <w:i/>
          <w:szCs w:val="22"/>
        </w:rPr>
        <w:t>. The analysis is generally undertaken by</w:t>
      </w:r>
      <w:r w:rsidR="00A86C9E">
        <w:rPr>
          <w:i/>
          <w:szCs w:val="22"/>
        </w:rPr>
        <w:t xml:space="preserve"> [a]</w:t>
      </w:r>
      <w:r w:rsidR="00A86C9E" w:rsidRPr="008500D0">
        <w:rPr>
          <w:i/>
          <w:szCs w:val="22"/>
        </w:rPr>
        <w:t xml:space="preserve"> specialist data team who have limited understanding of the underlying context of the data.</w:t>
      </w:r>
      <w:r>
        <w:rPr>
          <w:i/>
          <w:szCs w:val="22"/>
        </w:rPr>
        <w:t>’</w:t>
      </w:r>
      <w:r w:rsidR="00A86C9E">
        <w:rPr>
          <w:i/>
          <w:szCs w:val="22"/>
        </w:rPr>
        <w:t xml:space="preserve"> </w:t>
      </w:r>
      <w:r w:rsidR="0045641C">
        <w:rPr>
          <w:i/>
          <w:szCs w:val="22"/>
        </w:rPr>
        <w:t xml:space="preserve">– </w:t>
      </w:r>
      <w:r w:rsidR="00A86C9E">
        <w:rPr>
          <w:i/>
          <w:szCs w:val="22"/>
        </w:rPr>
        <w:t xml:space="preserve">Staff </w:t>
      </w:r>
      <w:r w:rsidR="0045641C">
        <w:rPr>
          <w:i/>
          <w:szCs w:val="22"/>
        </w:rPr>
        <w:t>s</w:t>
      </w:r>
      <w:r w:rsidR="00A86C9E">
        <w:rPr>
          <w:i/>
          <w:szCs w:val="22"/>
        </w:rPr>
        <w:t>urvey</w:t>
      </w:r>
    </w:p>
    <w:p w14:paraId="7B1DE457" w14:textId="0E5006B7" w:rsidR="00A86C9E" w:rsidRPr="00AF2F75" w:rsidRDefault="00A86C9E" w:rsidP="00975036">
      <w:pPr>
        <w:pStyle w:val="numberedtext"/>
        <w:numPr>
          <w:ilvl w:val="0"/>
          <w:numId w:val="23"/>
        </w:numPr>
        <w:rPr>
          <w:rFonts w:cstheme="minorHAnsi"/>
        </w:rPr>
      </w:pPr>
      <w:r w:rsidRPr="00AF2F75">
        <w:rPr>
          <w:rFonts w:cstheme="minorHAnsi"/>
        </w:rPr>
        <w:t xml:space="preserve">ASIC is trialling the use of artificial intelligence </w:t>
      </w:r>
      <w:r w:rsidR="00374FEE">
        <w:rPr>
          <w:rFonts w:cstheme="minorHAnsi"/>
        </w:rPr>
        <w:t xml:space="preserve">(AI) </w:t>
      </w:r>
      <w:r w:rsidRPr="00AF2F75">
        <w:rPr>
          <w:rFonts w:cstheme="minorHAnsi"/>
        </w:rPr>
        <w:t xml:space="preserve">and machine learning in its surveillances. </w:t>
      </w:r>
      <w:r w:rsidR="00A6032A" w:rsidRPr="00B13AF9">
        <w:t>Box 4.1</w:t>
      </w:r>
      <w:r w:rsidR="00840E20">
        <w:rPr>
          <w:rFonts w:cstheme="minorHAnsi"/>
        </w:rPr>
        <w:t xml:space="preserve"> </w:t>
      </w:r>
      <w:r w:rsidRPr="00AF2F75">
        <w:rPr>
          <w:rFonts w:cstheme="minorHAnsi"/>
        </w:rPr>
        <w:t>provides some examples of these initiatives.</w:t>
      </w:r>
    </w:p>
    <w:tbl>
      <w:tblPr>
        <w:tblStyle w:val="TableGrid"/>
        <w:tblW w:w="0" w:type="auto"/>
        <w:tblInd w:w="567" w:type="dxa"/>
        <w:shd w:val="clear" w:color="auto" w:fill="EAEAEA" w:themeFill="background2"/>
        <w:tblCellMar>
          <w:top w:w="170" w:type="dxa"/>
          <w:left w:w="170" w:type="dxa"/>
          <w:bottom w:w="170" w:type="dxa"/>
          <w:right w:w="170" w:type="dxa"/>
        </w:tblCellMar>
        <w:tblLook w:val="04A0" w:firstRow="1" w:lastRow="0" w:firstColumn="1" w:lastColumn="0" w:noHBand="0" w:noVBand="1"/>
      </w:tblPr>
      <w:tblGrid>
        <w:gridCol w:w="8503"/>
      </w:tblGrid>
      <w:tr w:rsidR="00A86C9E" w14:paraId="00FB1E4F" w14:textId="77777777" w:rsidTr="007D4979">
        <w:tc>
          <w:tcPr>
            <w:tcW w:w="9016" w:type="dxa"/>
            <w:shd w:val="clear" w:color="auto" w:fill="EAEAEA" w:themeFill="background2"/>
          </w:tcPr>
          <w:p w14:paraId="44CDDBDC" w14:textId="77777777" w:rsidR="00A86C9E" w:rsidRPr="00B13AF9" w:rsidRDefault="00A86C9E" w:rsidP="007D4979">
            <w:pPr>
              <w:pStyle w:val="BoxHeading"/>
            </w:pPr>
            <w:bookmarkStart w:id="104" w:name="Box_4_1"/>
            <w:r w:rsidRPr="00B13AF9">
              <w:t>Box 4.1</w:t>
            </w:r>
            <w:bookmarkEnd w:id="104"/>
            <w:r w:rsidRPr="00B13AF9">
              <w:t>: Data analytics in surveillance</w:t>
            </w:r>
          </w:p>
          <w:p w14:paraId="2878634F" w14:textId="1A33B0E0" w:rsidR="00A86C9E" w:rsidRPr="00E55AD5" w:rsidRDefault="00A86C9E" w:rsidP="00D93304">
            <w:pPr>
              <w:pStyle w:val="BoxBullet"/>
              <w:numPr>
                <w:ilvl w:val="0"/>
                <w:numId w:val="0"/>
              </w:numPr>
            </w:pPr>
            <w:r w:rsidRPr="00E55AD5">
              <w:rPr>
                <w:b/>
              </w:rPr>
              <w:t xml:space="preserve">Markets Assessment Intelligence (MAI) system: </w:t>
            </w:r>
            <w:r w:rsidRPr="00E55AD5">
              <w:t>the MAI system alerts ASIC to suspicious trading activity, is used to conduct real</w:t>
            </w:r>
            <w:r w:rsidR="00EF40B0">
              <w:noBreakHyphen/>
            </w:r>
            <w:r w:rsidRPr="00E55AD5">
              <w:t>time monitoring of listed equities markets and post</w:t>
            </w:r>
            <w:r w:rsidR="00EF40B0">
              <w:noBreakHyphen/>
            </w:r>
            <w:r w:rsidRPr="00E55AD5">
              <w:t>trade monitoring of listed equities and derivatives markets. In 2020–21, ASIC upgraded this system and enhanced its data and analytics capabilities by moving it to a cloud provider. The improved system stores more data securely and facilitates the analysis of a larger volume of data from financial markets to identify suspicious trading activity. The MAI system generates approximately 200 alerts per day (through assessment of approximately 200,000 daily trades) and is the source for the majority of equities surveillances.</w:t>
            </w:r>
          </w:p>
          <w:p w14:paraId="2D86A61E" w14:textId="7318D430" w:rsidR="00A86C9E" w:rsidRPr="00E55AD5" w:rsidRDefault="00A86C9E" w:rsidP="00D93304">
            <w:pPr>
              <w:pStyle w:val="BoxBullet"/>
              <w:numPr>
                <w:ilvl w:val="0"/>
                <w:numId w:val="0"/>
              </w:numPr>
            </w:pPr>
            <w:r w:rsidRPr="00E55AD5">
              <w:rPr>
                <w:b/>
              </w:rPr>
              <w:t xml:space="preserve">Using </w:t>
            </w:r>
            <w:r w:rsidR="00033C32">
              <w:rPr>
                <w:b/>
              </w:rPr>
              <w:t>AI</w:t>
            </w:r>
            <w:r w:rsidR="002A32C5">
              <w:rPr>
                <w:b/>
              </w:rPr>
              <w:t xml:space="preserve"> </w:t>
            </w:r>
            <w:r w:rsidRPr="00E55AD5">
              <w:rPr>
                <w:b/>
              </w:rPr>
              <w:t>to assess breach report data:</w:t>
            </w:r>
            <w:r w:rsidRPr="00E55AD5">
              <w:t xml:space="preserve"> before the October 2021 amendments to breach reporting requirements, ASIC received over 4,000 breaches every year. These breach reports were assessed manually. In 2020, ASIC trialled applying an </w:t>
            </w:r>
            <w:r w:rsidR="002A32C5">
              <w:t xml:space="preserve">AI </w:t>
            </w:r>
            <w:r w:rsidRPr="00E55AD5">
              <w:t xml:space="preserve">algorithm to breach report data. This initiative sought to help triage breach reports to </w:t>
            </w:r>
            <w:r w:rsidR="00440E13" w:rsidRPr="00E55AD5">
              <w:t>identify matters more quickly</w:t>
            </w:r>
            <w:r w:rsidRPr="00E55AD5">
              <w:t xml:space="preserve"> for referral to stakeholder or enforcement teams. The </w:t>
            </w:r>
            <w:r w:rsidR="002A32C5">
              <w:t>AI</w:t>
            </w:r>
            <w:r w:rsidRPr="00E55AD5">
              <w:t xml:space="preserve"> algorithm also helped identify matters where no further action should be taken. This initiative demonstrated that </w:t>
            </w:r>
            <w:r w:rsidR="002A32C5">
              <w:t xml:space="preserve">AI </w:t>
            </w:r>
            <w:r w:rsidRPr="00E55AD5">
              <w:t>could be used to reduce manual effort in the triage process and simplify the assessment process, resulting in a more efficient, less resource</w:t>
            </w:r>
            <w:r w:rsidR="00EF40B0">
              <w:noBreakHyphen/>
            </w:r>
            <w:r w:rsidRPr="00E55AD5">
              <w:t xml:space="preserve">intensive process. Using a representative sample of breach reports, the </w:t>
            </w:r>
            <w:r w:rsidR="002A32C5">
              <w:t>AI</w:t>
            </w:r>
            <w:r w:rsidRPr="00E55AD5">
              <w:t xml:space="preserve"> trial provided 65% accuracy in triaging breaches to the correct team. ASIC considers that the results of the trial are encouraging and it has plans to operationalise an automated </w:t>
            </w:r>
            <w:r w:rsidR="002A32C5">
              <w:t>AI</w:t>
            </w:r>
            <w:r w:rsidR="00EF40B0">
              <w:noBreakHyphen/>
            </w:r>
            <w:r w:rsidRPr="00E55AD5">
              <w:t xml:space="preserve">assisted triaging process in </w:t>
            </w:r>
            <w:r w:rsidR="00440E13">
              <w:t>20</w:t>
            </w:r>
            <w:r w:rsidRPr="00E55AD5">
              <w:t>22</w:t>
            </w:r>
            <w:r w:rsidR="00EF40B0">
              <w:noBreakHyphen/>
            </w:r>
            <w:r w:rsidRPr="00E55AD5">
              <w:t>23.</w:t>
            </w:r>
          </w:p>
          <w:p w14:paraId="219F8D44" w14:textId="0EEF7E05" w:rsidR="00A86C9E" w:rsidRPr="00E55AD5" w:rsidRDefault="00A86C9E" w:rsidP="00D93304">
            <w:pPr>
              <w:pStyle w:val="BoxBullet"/>
              <w:numPr>
                <w:ilvl w:val="0"/>
                <w:numId w:val="0"/>
              </w:numPr>
            </w:pPr>
            <w:r w:rsidRPr="00E55AD5">
              <w:rPr>
                <w:b/>
              </w:rPr>
              <w:t>Using machine learning to review prospectuses:</w:t>
            </w:r>
            <w:r w:rsidRPr="00E55AD5">
              <w:t xml:space="preserve"> the Corporations team receives around 800</w:t>
            </w:r>
            <w:r w:rsidR="004757A7">
              <w:t> </w:t>
            </w:r>
            <w:r w:rsidRPr="00E55AD5">
              <w:t>prospectus submissions a year. These prospectuses undergo a time</w:t>
            </w:r>
            <w:r w:rsidR="00EF40B0">
              <w:noBreakHyphen/>
            </w:r>
            <w:r w:rsidRPr="00E55AD5">
              <w:t>sensitive manual risk</w:t>
            </w:r>
            <w:r w:rsidR="00EF40B0">
              <w:noBreakHyphen/>
            </w:r>
            <w:r w:rsidRPr="00E55AD5">
              <w:t>rating process. Using a predefined set of keywords and machine learning algorithms, ASIC developed an automation solution that will improve the efficiency and accuracy of the prospectus risk</w:t>
            </w:r>
            <w:r w:rsidR="00EF40B0">
              <w:noBreakHyphen/>
            </w:r>
            <w:r w:rsidRPr="00E55AD5">
              <w:t>rating process. This solution will reduce the manual work required from the Corporations team. ASIC expects the first version to be operational by 31 August 2022, noting that utility of the first version may be limited and there will need to be ongoing development and enhancements, including integration with portal data.</w:t>
            </w:r>
          </w:p>
        </w:tc>
      </w:tr>
    </w:tbl>
    <w:p w14:paraId="3CC65D72" w14:textId="362DEC87" w:rsidR="00931B94" w:rsidRDefault="00A86C9E" w:rsidP="00975036">
      <w:pPr>
        <w:pStyle w:val="numberedtext"/>
        <w:numPr>
          <w:ilvl w:val="0"/>
          <w:numId w:val="23"/>
        </w:numPr>
        <w:rPr>
          <w:rFonts w:cstheme="minorHAnsi"/>
        </w:rPr>
      </w:pPr>
      <w:r w:rsidRPr="00AF2F75">
        <w:rPr>
          <w:rFonts w:cstheme="minorHAnsi"/>
        </w:rPr>
        <w:t>The FRAA considers appropriate systems and platforms to be critical to support ASIC</w:t>
      </w:r>
      <w:r w:rsidR="00EF40B0">
        <w:rPr>
          <w:rFonts w:cstheme="minorHAnsi"/>
        </w:rPr>
        <w:t>’</w:t>
      </w:r>
      <w:r w:rsidRPr="00AF2F75">
        <w:rPr>
          <w:rFonts w:cstheme="minorHAnsi"/>
        </w:rPr>
        <w:t xml:space="preserve">s effectiveness and capability in surveillance activities. The FRAA views current iterations of the data lake and CRM </w:t>
      </w:r>
      <w:r w:rsidR="00B4730D">
        <w:rPr>
          <w:rFonts w:cstheme="minorHAnsi"/>
        </w:rPr>
        <w:t xml:space="preserve">system </w:t>
      </w:r>
      <w:r w:rsidRPr="00AF2F75">
        <w:rPr>
          <w:rFonts w:cstheme="minorHAnsi"/>
        </w:rPr>
        <w:t>as sub</w:t>
      </w:r>
      <w:r w:rsidR="00EF40B0">
        <w:rPr>
          <w:rFonts w:cstheme="minorHAnsi"/>
        </w:rPr>
        <w:noBreakHyphen/>
      </w:r>
      <w:r w:rsidRPr="00AF2F75">
        <w:rPr>
          <w:rFonts w:cstheme="minorHAnsi"/>
        </w:rPr>
        <w:t xml:space="preserve">optimal, and notes that while uplift initiatives are underway, substantial improvements are required. Notwithstanding limitations regarding data access and availability, the FRAA considers that greater emphasis should be placed on developing innovative surveillance systems and technology platforms, particularly in Financial Services and Wealth teams, given their potential impact on increasing overall effectiveness. </w:t>
      </w:r>
    </w:p>
    <w:p w14:paraId="1AD7BADB" w14:textId="77777777" w:rsidR="00931B94" w:rsidRDefault="00931B94">
      <w:pPr>
        <w:spacing w:before="0" w:after="160" w:line="259" w:lineRule="auto"/>
        <w:rPr>
          <w:rFonts w:asciiTheme="minorHAnsi" w:eastAsiaTheme="minorHAnsi" w:hAnsiTheme="minorHAnsi" w:cstheme="minorHAnsi"/>
          <w:szCs w:val="22"/>
          <w:lang w:eastAsia="en-US"/>
        </w:rPr>
      </w:pPr>
      <w:r>
        <w:rPr>
          <w:rFonts w:cstheme="minorHAnsi"/>
        </w:rPr>
        <w:br w:type="page"/>
      </w:r>
    </w:p>
    <w:p w14:paraId="20FBA05B" w14:textId="77777777" w:rsidR="00A86C9E" w:rsidRPr="00D024EA" w:rsidRDefault="00A86C9E" w:rsidP="00D024EA">
      <w:pPr>
        <w:pStyle w:val="Heading3"/>
      </w:pPr>
      <w:bookmarkStart w:id="105" w:name="_Toc108786448"/>
      <w:r w:rsidRPr="00D024EA">
        <w:lastRenderedPageBreak/>
        <w:t>Transparency</w:t>
      </w:r>
      <w:bookmarkEnd w:id="105"/>
    </w:p>
    <w:p w14:paraId="70437C00" w14:textId="77777777" w:rsidR="00A86C9E" w:rsidRPr="00AF2F75" w:rsidRDefault="00A86C9E" w:rsidP="00975036">
      <w:pPr>
        <w:pStyle w:val="numberedtext"/>
        <w:numPr>
          <w:ilvl w:val="0"/>
          <w:numId w:val="23"/>
        </w:numPr>
        <w:rPr>
          <w:rFonts w:cstheme="minorHAnsi"/>
        </w:rPr>
      </w:pPr>
      <w:r w:rsidRPr="00AF2F75">
        <w:rPr>
          <w:rFonts w:cstheme="minorHAnsi"/>
        </w:rPr>
        <w:t xml:space="preserve">Feedback on the transparency of surveillances was mixed. </w:t>
      </w:r>
    </w:p>
    <w:p w14:paraId="67F90E00" w14:textId="03CD061D" w:rsidR="00A86C9E" w:rsidRPr="00AF2F75" w:rsidRDefault="00A86C9E" w:rsidP="00975036">
      <w:pPr>
        <w:pStyle w:val="numberedtext"/>
        <w:numPr>
          <w:ilvl w:val="0"/>
          <w:numId w:val="23"/>
        </w:numPr>
        <w:rPr>
          <w:rFonts w:cstheme="minorHAnsi"/>
        </w:rPr>
      </w:pPr>
      <w:r w:rsidRPr="00AF2F75">
        <w:rPr>
          <w:rFonts w:cstheme="minorHAnsi"/>
        </w:rPr>
        <w:t>Some submissions spoke positively of specific elements of ASIC</w:t>
      </w:r>
      <w:r w:rsidR="00EF40B0">
        <w:rPr>
          <w:rFonts w:cstheme="minorHAnsi"/>
        </w:rPr>
        <w:t>’</w:t>
      </w:r>
      <w:r w:rsidRPr="00AF2F75">
        <w:rPr>
          <w:rFonts w:cstheme="minorHAnsi"/>
        </w:rPr>
        <w:t>s surveillance</w:t>
      </w:r>
      <w:r w:rsidR="00EF40B0">
        <w:rPr>
          <w:rFonts w:cstheme="minorHAnsi"/>
        </w:rPr>
        <w:noBreakHyphen/>
      </w:r>
      <w:r w:rsidRPr="00AF2F75">
        <w:rPr>
          <w:rFonts w:cstheme="minorHAnsi"/>
        </w:rPr>
        <w:t>related communication and engagement. For example, the Law Council of Australia highlighted ASIC</w:t>
      </w:r>
      <w:r w:rsidR="00EF40B0">
        <w:rPr>
          <w:rFonts w:cstheme="minorHAnsi"/>
        </w:rPr>
        <w:t>’</w:t>
      </w:r>
      <w:r w:rsidRPr="00AF2F75">
        <w:rPr>
          <w:rFonts w:cstheme="minorHAnsi"/>
        </w:rPr>
        <w:t>s approach to communicating surveillance focus areas in financial reporting as effective in improving the quality of financial reports</w:t>
      </w:r>
      <w:r w:rsidR="00435006">
        <w:rPr>
          <w:rFonts w:cstheme="minorHAnsi"/>
        </w:rPr>
        <w:t>,</w:t>
      </w:r>
      <w:r w:rsidRPr="00AF2F75">
        <w:rPr>
          <w:rFonts w:cstheme="minorHAnsi"/>
        </w:rPr>
        <w:t xml:space="preserve"> and suggested replicating this for other sectors.</w:t>
      </w:r>
    </w:p>
    <w:p w14:paraId="589AF588" w14:textId="4923F125" w:rsidR="00A86C9E" w:rsidRPr="00413042" w:rsidRDefault="3B676DA3" w:rsidP="00975036">
      <w:pPr>
        <w:pStyle w:val="numberedtext"/>
        <w:numPr>
          <w:ilvl w:val="0"/>
          <w:numId w:val="23"/>
        </w:numPr>
      </w:pPr>
      <w:r w:rsidRPr="2F49AE8D">
        <w:t>As to communicating findings, outcomes and recommendations of thematic and programmatic surveillances, both ASIC and stakeholders observed scope to improve.</w:t>
      </w:r>
      <w:r w:rsidR="00A86C9E" w:rsidRPr="2F49AE8D">
        <w:rPr>
          <w:vertAlign w:val="superscript"/>
        </w:rPr>
        <w:footnoteReference w:id="120"/>
      </w:r>
      <w:r w:rsidRPr="2F49AE8D">
        <w:t xml:space="preserve"> One submission noted</w:t>
      </w:r>
      <w:r w:rsidRPr="00E243D2">
        <w:t xml:space="preserve"> a general lack of publicly available information regarding ASIC</w:t>
      </w:r>
      <w:r w:rsidR="00EF40B0">
        <w:t>’</w:t>
      </w:r>
      <w:r w:rsidRPr="00930CE9">
        <w:t>s surveillance activities, particularly regarding outcomes.</w:t>
      </w:r>
    </w:p>
    <w:p w14:paraId="4BCA52F3" w14:textId="45014447" w:rsidR="00A86C9E" w:rsidRPr="00F7690E" w:rsidRDefault="00EF40B0" w:rsidP="007D4979">
      <w:pPr>
        <w:pStyle w:val="Quote"/>
      </w:pPr>
      <w:r>
        <w:t>‘</w:t>
      </w:r>
      <w:r w:rsidR="00A86C9E" w:rsidRPr="00F7690E">
        <w:t xml:space="preserve">It is </w:t>
      </w:r>
      <w:r w:rsidR="00A86C9E" w:rsidRPr="00307D78">
        <w:t>difficult</w:t>
      </w:r>
      <w:r w:rsidR="00A86C9E" w:rsidRPr="00F7690E">
        <w:t xml:space="preserve"> to comment on the effectiveness of ASICs surveillance activities as there is little </w:t>
      </w:r>
      <w:r w:rsidR="00A86C9E" w:rsidRPr="00307D78">
        <w:t>information</w:t>
      </w:r>
      <w:r w:rsidR="00A86C9E" w:rsidRPr="00F7690E">
        <w:t xml:space="preserve"> available as to the detail of these activities in each sub</w:t>
      </w:r>
      <w:r>
        <w:noBreakHyphen/>
      </w:r>
      <w:r w:rsidR="00A86C9E" w:rsidRPr="00F7690E">
        <w:t>sector</w:t>
      </w:r>
      <w:r w:rsidR="00A86C9E">
        <w:t>.</w:t>
      </w:r>
      <w:r>
        <w:t>’</w:t>
      </w:r>
      <w:r w:rsidR="00A86C9E" w:rsidRPr="00F7690E">
        <w:t xml:space="preserve"> </w:t>
      </w:r>
      <w:r w:rsidR="00416E8B">
        <w:t xml:space="preserve">– </w:t>
      </w:r>
      <w:r w:rsidR="00A86C9E" w:rsidRPr="00F7690E">
        <w:t xml:space="preserve">Public submission, </w:t>
      </w:r>
      <w:r w:rsidR="00416E8B">
        <w:t>c</w:t>
      </w:r>
      <w:r w:rsidR="00A86C9E" w:rsidRPr="00F7690E">
        <w:t>onfidential</w:t>
      </w:r>
    </w:p>
    <w:p w14:paraId="2BDD0760" w14:textId="6085F3E1" w:rsidR="00A86C9E" w:rsidRPr="00AF2F75" w:rsidRDefault="00A86C9E" w:rsidP="00975036">
      <w:pPr>
        <w:pStyle w:val="numberedtext"/>
        <w:numPr>
          <w:ilvl w:val="0"/>
          <w:numId w:val="23"/>
        </w:numPr>
        <w:rPr>
          <w:rFonts w:cstheme="minorHAnsi"/>
        </w:rPr>
      </w:pPr>
      <w:r w:rsidRPr="00AF2F75">
        <w:rPr>
          <w:rFonts w:cstheme="minorHAnsi"/>
        </w:rPr>
        <w:t>In response, ASIC noted that it publishes a large number of reports on thematic surveillances, in addition to media releases on selected individual surveillances. ASIC also publishes sector</w:t>
      </w:r>
      <w:r w:rsidR="00EF40B0">
        <w:rPr>
          <w:rFonts w:cstheme="minorHAnsi"/>
        </w:rPr>
        <w:noBreakHyphen/>
      </w:r>
      <w:r w:rsidRPr="00AF2F75">
        <w:rPr>
          <w:rFonts w:cstheme="minorHAnsi"/>
        </w:rPr>
        <w:t xml:space="preserve">specific updates on regulatory activities (for example, the Market Integrity Update and Corporate Finance Update) and includes details of surveillances in its </w:t>
      </w:r>
      <w:r w:rsidR="00546414">
        <w:rPr>
          <w:rFonts w:cstheme="minorHAnsi"/>
        </w:rPr>
        <w:t>A</w:t>
      </w:r>
      <w:r w:rsidRPr="00AF2F75">
        <w:rPr>
          <w:rFonts w:cstheme="minorHAnsi"/>
        </w:rPr>
        <w:t xml:space="preserve">nnual </w:t>
      </w:r>
      <w:r w:rsidR="00546414">
        <w:rPr>
          <w:rFonts w:cstheme="minorHAnsi"/>
        </w:rPr>
        <w:t>R</w:t>
      </w:r>
      <w:r w:rsidRPr="00AF2F75">
        <w:rPr>
          <w:rFonts w:cstheme="minorHAnsi"/>
        </w:rPr>
        <w:t>eport.</w:t>
      </w:r>
    </w:p>
    <w:p w14:paraId="5970B235" w14:textId="62BE4E0D" w:rsidR="00A86C9E" w:rsidRPr="00AF2F75" w:rsidRDefault="00A86C9E" w:rsidP="00975036">
      <w:pPr>
        <w:pStyle w:val="numberedtext"/>
        <w:numPr>
          <w:ilvl w:val="0"/>
          <w:numId w:val="23"/>
        </w:numPr>
        <w:rPr>
          <w:rFonts w:cstheme="minorHAnsi"/>
        </w:rPr>
      </w:pPr>
      <w:r w:rsidRPr="00AF2F75">
        <w:rPr>
          <w:rFonts w:cstheme="minorHAnsi"/>
        </w:rPr>
        <w:t>Despite this, ASIC acknowledged in its self</w:t>
      </w:r>
      <w:r w:rsidR="00EF40B0">
        <w:rPr>
          <w:rFonts w:cstheme="minorHAnsi"/>
        </w:rPr>
        <w:noBreakHyphen/>
      </w:r>
      <w:r w:rsidRPr="00AF2F75">
        <w:rPr>
          <w:rFonts w:cstheme="minorHAnsi"/>
        </w:rPr>
        <w:t>assessment a need to make its communication more effective, including through direct engagement.</w:t>
      </w:r>
      <w:r w:rsidRPr="00AF2F75">
        <w:rPr>
          <w:rFonts w:cstheme="minorHAnsi"/>
          <w:vertAlign w:val="superscript"/>
        </w:rPr>
        <w:footnoteReference w:id="121"/>
      </w:r>
      <w:r w:rsidRPr="00AF2F75">
        <w:rPr>
          <w:rFonts w:cstheme="minorHAnsi"/>
        </w:rPr>
        <w:t xml:space="preserve"> Staff survey responses observed that increased communication, including additional public reporting, publishing of media releases and a generally greater media presence would help promote awareness of risks and poor practice and increase adoption of recommendations. </w:t>
      </w:r>
    </w:p>
    <w:p w14:paraId="53718E45" w14:textId="40817A6E" w:rsidR="00A86C9E" w:rsidRPr="00AF2F75" w:rsidRDefault="00A86C9E" w:rsidP="00975036">
      <w:pPr>
        <w:pStyle w:val="numberedtext"/>
        <w:numPr>
          <w:ilvl w:val="0"/>
          <w:numId w:val="23"/>
        </w:numPr>
        <w:rPr>
          <w:rFonts w:cstheme="minorHAnsi"/>
        </w:rPr>
      </w:pPr>
      <w:r w:rsidRPr="00AF2F75">
        <w:rPr>
          <w:rFonts w:cstheme="minorHAnsi"/>
        </w:rPr>
        <w:t>ASIC</w:t>
      </w:r>
      <w:r w:rsidR="00EF40B0">
        <w:rPr>
          <w:rFonts w:cstheme="minorHAnsi"/>
        </w:rPr>
        <w:t>’</w:t>
      </w:r>
      <w:r w:rsidRPr="00AF2F75">
        <w:rPr>
          <w:rFonts w:cstheme="minorHAnsi"/>
        </w:rPr>
        <w:t xml:space="preserve">s recent use of social media to deter </w:t>
      </w:r>
      <w:r w:rsidR="00EF40B0">
        <w:rPr>
          <w:rFonts w:cstheme="minorHAnsi"/>
        </w:rPr>
        <w:t>‘</w:t>
      </w:r>
      <w:r w:rsidRPr="00AF2F75">
        <w:rPr>
          <w:rFonts w:cstheme="minorHAnsi"/>
        </w:rPr>
        <w:t>pump</w:t>
      </w:r>
      <w:r w:rsidR="00EF40B0">
        <w:rPr>
          <w:rFonts w:cstheme="minorHAnsi"/>
        </w:rPr>
        <w:noBreakHyphen/>
      </w:r>
      <w:r w:rsidRPr="00AF2F75">
        <w:rPr>
          <w:rFonts w:cstheme="minorHAnsi"/>
        </w:rPr>
        <w:t>and</w:t>
      </w:r>
      <w:r w:rsidR="00EF40B0">
        <w:rPr>
          <w:rFonts w:cstheme="minorHAnsi"/>
        </w:rPr>
        <w:noBreakHyphen/>
      </w:r>
      <w:r w:rsidRPr="00AF2F75">
        <w:rPr>
          <w:rFonts w:cstheme="minorHAnsi"/>
        </w:rPr>
        <w:t>dump</w:t>
      </w:r>
      <w:r w:rsidR="00EF40B0">
        <w:rPr>
          <w:rFonts w:cstheme="minorHAnsi"/>
        </w:rPr>
        <w:t>’</w:t>
      </w:r>
      <w:r w:rsidRPr="00AF2F75">
        <w:rPr>
          <w:rFonts w:cstheme="minorHAnsi"/>
        </w:rPr>
        <w:t xml:space="preserve"> trading was widely commended by stakeholders as an effective means of communication. </w:t>
      </w:r>
    </w:p>
    <w:p w14:paraId="466BBFF0" w14:textId="139F0477" w:rsidR="00A86C9E" w:rsidRPr="00AF2F75" w:rsidRDefault="00A86C9E" w:rsidP="00975036">
      <w:pPr>
        <w:pStyle w:val="numberedtext"/>
        <w:numPr>
          <w:ilvl w:val="0"/>
          <w:numId w:val="23"/>
        </w:numPr>
        <w:rPr>
          <w:rFonts w:cstheme="minorHAnsi"/>
        </w:rPr>
      </w:pPr>
      <w:r w:rsidRPr="00AF2F75">
        <w:rPr>
          <w:rFonts w:cstheme="minorHAnsi"/>
        </w:rPr>
        <w:t>Two submissions suggested that reports should differentiate between minor and major issues, and potentially include a ranking system, so that regulated entities can focus on key risks.</w:t>
      </w:r>
      <w:r w:rsidRPr="00AF2F75">
        <w:rPr>
          <w:rFonts w:cstheme="minorHAnsi"/>
          <w:vertAlign w:val="superscript"/>
        </w:rPr>
        <w:footnoteReference w:id="122"/>
      </w:r>
      <w:r w:rsidRPr="00AF2F75">
        <w:rPr>
          <w:rFonts w:cstheme="minorHAnsi"/>
          <w:vertAlign w:val="superscript"/>
        </w:rPr>
        <w:t xml:space="preserve"> </w:t>
      </w:r>
      <w:r w:rsidRPr="00AF2F75">
        <w:rPr>
          <w:rFonts w:cstheme="minorHAnsi"/>
        </w:rPr>
        <w:t xml:space="preserve">CPA Australia noted that unlike the </w:t>
      </w:r>
      <w:r w:rsidR="00BC1FD4">
        <w:rPr>
          <w:rFonts w:cstheme="minorHAnsi"/>
        </w:rPr>
        <w:t>SEC</w:t>
      </w:r>
      <w:r w:rsidRPr="00AF2F75">
        <w:rPr>
          <w:rFonts w:cstheme="minorHAnsi"/>
        </w:rPr>
        <w:t>, the publi</w:t>
      </w:r>
      <w:r w:rsidR="006C5797">
        <w:rPr>
          <w:rFonts w:cstheme="minorHAnsi"/>
        </w:rPr>
        <w:t>shed</w:t>
      </w:r>
      <w:r w:rsidRPr="00AF2F75">
        <w:rPr>
          <w:rFonts w:cstheme="minorHAnsi"/>
        </w:rPr>
        <w:t xml:space="preserve"> results from ASIC</w:t>
      </w:r>
      <w:r w:rsidR="00EF40B0">
        <w:rPr>
          <w:rFonts w:cstheme="minorHAnsi"/>
        </w:rPr>
        <w:t>’</w:t>
      </w:r>
      <w:r w:rsidRPr="00AF2F75">
        <w:rPr>
          <w:rFonts w:cstheme="minorHAnsi"/>
        </w:rPr>
        <w:t>s financial reporting surveillance programs do not distinguish between major and minor issues. ASIC noted that reports published as a result of its audit inspection program focus on risks of material misstatement. ASIC is trialling a method of categorising these risks of material misstatement, but has not made a decision as to the nature and form of such a publication</w:t>
      </w:r>
      <w:r w:rsidR="001A1CBE" w:rsidRPr="00AF2F75">
        <w:rPr>
          <w:rFonts w:cstheme="minorHAnsi"/>
        </w:rPr>
        <w:t xml:space="preserve">. </w:t>
      </w:r>
    </w:p>
    <w:p w14:paraId="2EAF2FFB" w14:textId="59AE899F" w:rsidR="00A86C9E" w:rsidRPr="00AF2F75" w:rsidRDefault="00A86C9E" w:rsidP="00975036">
      <w:pPr>
        <w:pStyle w:val="numberedtext"/>
        <w:numPr>
          <w:ilvl w:val="0"/>
          <w:numId w:val="23"/>
        </w:numPr>
        <w:rPr>
          <w:rFonts w:cstheme="minorHAnsi"/>
        </w:rPr>
      </w:pPr>
      <w:r w:rsidRPr="00AF2F75">
        <w:rPr>
          <w:rFonts w:cstheme="minorHAnsi"/>
        </w:rPr>
        <w:t xml:space="preserve">Market operators observed that ASIC often provided limited feedback regarding referrals of possible misconduct. They noted that increased engagement would enable market operators to focus their monitoring to align with ASIC surveillance priorities. It would also allow for clear and consistent messages </w:t>
      </w:r>
      <w:r w:rsidR="00BF0650">
        <w:rPr>
          <w:rFonts w:cstheme="minorHAnsi"/>
        </w:rPr>
        <w:t>to the market,</w:t>
      </w:r>
      <w:r w:rsidRPr="00AF2F75">
        <w:rPr>
          <w:rFonts w:cstheme="minorHAnsi"/>
        </w:rPr>
        <w:t xml:space="preserve"> from market operators and ASIC</w:t>
      </w:r>
      <w:r w:rsidR="00BF0650">
        <w:rPr>
          <w:rFonts w:cstheme="minorHAnsi"/>
        </w:rPr>
        <w:t>,</w:t>
      </w:r>
      <w:r w:rsidRPr="00AF2F75">
        <w:rPr>
          <w:rFonts w:cstheme="minorHAnsi"/>
        </w:rPr>
        <w:t xml:space="preserve"> on surveillance priorities.</w:t>
      </w:r>
    </w:p>
    <w:p w14:paraId="11D08934" w14:textId="3E2990B9" w:rsidR="00A86C9E" w:rsidRPr="00AF2F75" w:rsidRDefault="00A86C9E" w:rsidP="00975036">
      <w:pPr>
        <w:pStyle w:val="numberedtext"/>
        <w:numPr>
          <w:ilvl w:val="0"/>
          <w:numId w:val="23"/>
        </w:numPr>
        <w:rPr>
          <w:rFonts w:cstheme="minorHAnsi"/>
        </w:rPr>
      </w:pPr>
      <w:r w:rsidRPr="00AF2F75">
        <w:rPr>
          <w:rFonts w:cstheme="minorHAnsi"/>
        </w:rPr>
        <w:t xml:space="preserve">ASIC has increased its focus on communicating its enforcement, surveillance, and other regulatory outcomes. This is being achieved through commissioners presenting to the media and developing a stronger media profile. A recent example includes </w:t>
      </w:r>
      <w:r w:rsidR="003C79D7">
        <w:rPr>
          <w:rFonts w:cstheme="minorHAnsi"/>
        </w:rPr>
        <w:t>a</w:t>
      </w:r>
      <w:r w:rsidRPr="00AF2F75">
        <w:rPr>
          <w:rFonts w:cstheme="minorHAnsi"/>
        </w:rPr>
        <w:t xml:space="preserve"> deputy chair delivering media briefings following ASIC</w:t>
      </w:r>
      <w:r w:rsidR="00EF40B0">
        <w:rPr>
          <w:rFonts w:cstheme="minorHAnsi"/>
        </w:rPr>
        <w:t>’</w:t>
      </w:r>
      <w:r w:rsidRPr="00AF2F75">
        <w:rPr>
          <w:rFonts w:cstheme="minorHAnsi"/>
        </w:rPr>
        <w:t>s action against 2 firms for allegedly disguising loans as lease contracts for whitegoods.</w:t>
      </w:r>
      <w:r w:rsidRPr="00AF2F75">
        <w:rPr>
          <w:rStyle w:val="FootnoteReference"/>
        </w:rPr>
        <w:footnoteReference w:id="123"/>
      </w:r>
      <w:r w:rsidRPr="00AF2F75">
        <w:rPr>
          <w:rStyle w:val="FootnoteReference"/>
        </w:rPr>
        <w:t xml:space="preserve"> </w:t>
      </w:r>
      <w:r w:rsidRPr="00AF2F75">
        <w:rPr>
          <w:rFonts w:cstheme="minorHAnsi"/>
        </w:rPr>
        <w:t>The focus on communicating outcomes supplements ASIC</w:t>
      </w:r>
      <w:r w:rsidR="00EF40B0">
        <w:rPr>
          <w:rFonts w:cstheme="minorHAnsi"/>
        </w:rPr>
        <w:t>’</w:t>
      </w:r>
      <w:r w:rsidRPr="00AF2F75">
        <w:rPr>
          <w:rFonts w:cstheme="minorHAnsi"/>
        </w:rPr>
        <w:t xml:space="preserve">s </w:t>
      </w:r>
      <w:r w:rsidRPr="00AF2F75">
        <w:rPr>
          <w:rFonts w:cstheme="minorHAnsi"/>
        </w:rPr>
        <w:lastRenderedPageBreak/>
        <w:t>ongoing activities such as writing articles for industry publications and delivering speeches to industry forums.</w:t>
      </w:r>
    </w:p>
    <w:p w14:paraId="082C3B47" w14:textId="5E3FFAA8" w:rsidR="00A86C9E" w:rsidRPr="00AF2F75" w:rsidRDefault="00A86C9E" w:rsidP="00975036">
      <w:pPr>
        <w:pStyle w:val="numberedtext"/>
        <w:numPr>
          <w:ilvl w:val="0"/>
          <w:numId w:val="23"/>
        </w:numPr>
        <w:rPr>
          <w:rFonts w:cstheme="minorHAnsi"/>
        </w:rPr>
      </w:pPr>
      <w:r w:rsidRPr="00AF2F75">
        <w:rPr>
          <w:rFonts w:cstheme="minorHAnsi"/>
        </w:rPr>
        <w:t xml:space="preserve">ASIC has indicated that future initiatives to improve the transparency of its surveillances include considering the resourcing needs of its communications function and the recruitment of a new </w:t>
      </w:r>
      <w:r w:rsidR="006E48AB">
        <w:rPr>
          <w:rFonts w:cstheme="minorHAnsi"/>
        </w:rPr>
        <w:t>C</w:t>
      </w:r>
      <w:r w:rsidRPr="00AF2F75">
        <w:rPr>
          <w:rFonts w:cstheme="minorHAnsi"/>
        </w:rPr>
        <w:t xml:space="preserve">hief </w:t>
      </w:r>
      <w:r w:rsidR="006E48AB">
        <w:rPr>
          <w:rFonts w:cstheme="minorHAnsi"/>
        </w:rPr>
        <w:t>C</w:t>
      </w:r>
      <w:r w:rsidRPr="00AF2F75">
        <w:rPr>
          <w:rFonts w:cstheme="minorHAnsi"/>
        </w:rPr>
        <w:t xml:space="preserve">ommunications </w:t>
      </w:r>
      <w:r w:rsidR="006E48AB">
        <w:rPr>
          <w:rFonts w:cstheme="minorHAnsi"/>
        </w:rPr>
        <w:t>O</w:t>
      </w:r>
      <w:r w:rsidRPr="00AF2F75">
        <w:rPr>
          <w:rFonts w:cstheme="minorHAnsi"/>
        </w:rPr>
        <w:t>fficer.</w:t>
      </w:r>
    </w:p>
    <w:p w14:paraId="6BEA9D46" w14:textId="078BAE76" w:rsidR="00931B94" w:rsidRPr="00A550D7" w:rsidRDefault="00A86C9E" w:rsidP="00A550D7">
      <w:pPr>
        <w:pStyle w:val="numberedtext"/>
        <w:numPr>
          <w:ilvl w:val="0"/>
          <w:numId w:val="23"/>
        </w:numPr>
        <w:rPr>
          <w:rFonts w:cstheme="minorHAnsi"/>
        </w:rPr>
      </w:pPr>
      <w:r w:rsidRPr="00AF2F75">
        <w:rPr>
          <w:rFonts w:cstheme="minorHAnsi"/>
        </w:rPr>
        <w:t>The FRAA is supportive of ASIC</w:t>
      </w:r>
      <w:r w:rsidR="00EF40B0">
        <w:rPr>
          <w:rFonts w:cstheme="minorHAnsi"/>
        </w:rPr>
        <w:t>’</w:t>
      </w:r>
      <w:r w:rsidRPr="00AF2F75">
        <w:rPr>
          <w:rFonts w:cstheme="minorHAnsi"/>
        </w:rPr>
        <w:t>s initiatives to enhance the communication of outcomes. The FRAA considers it important for ASIC to continue this focus to most effectively influence behaviour, drive compliance and promote positive outcomes for consumers and investors.</w:t>
      </w:r>
    </w:p>
    <w:p w14:paraId="01BF2B7E" w14:textId="77777777" w:rsidR="00A86C9E" w:rsidRPr="00D024EA" w:rsidRDefault="00A86C9E" w:rsidP="00D024EA">
      <w:pPr>
        <w:pStyle w:val="Heading3"/>
      </w:pPr>
      <w:bookmarkStart w:id="106" w:name="_Toc108786449"/>
      <w:r w:rsidRPr="00D024EA">
        <w:t>Accountability</w:t>
      </w:r>
      <w:bookmarkEnd w:id="106"/>
    </w:p>
    <w:p w14:paraId="1DF4268A" w14:textId="65E9554D" w:rsidR="00A86C9E" w:rsidRPr="00AF2F75" w:rsidRDefault="00A86C9E" w:rsidP="00975036">
      <w:pPr>
        <w:pStyle w:val="numberedtext"/>
        <w:numPr>
          <w:ilvl w:val="0"/>
          <w:numId w:val="23"/>
        </w:numPr>
        <w:rPr>
          <w:rFonts w:cstheme="minorHAnsi"/>
        </w:rPr>
      </w:pPr>
      <w:r w:rsidRPr="00AF2F75">
        <w:rPr>
          <w:rFonts w:cstheme="minorHAnsi"/>
        </w:rPr>
        <w:t>Commentary on ASIC</w:t>
      </w:r>
      <w:r w:rsidR="00EF40B0">
        <w:rPr>
          <w:rFonts w:cstheme="minorHAnsi"/>
        </w:rPr>
        <w:t>’</w:t>
      </w:r>
      <w:r w:rsidRPr="00AF2F75">
        <w:rPr>
          <w:rFonts w:cstheme="minorHAnsi"/>
        </w:rPr>
        <w:t>s accountability in respect of surveillances was mixed.</w:t>
      </w:r>
    </w:p>
    <w:p w14:paraId="3A774497" w14:textId="77777777" w:rsidR="00A86C9E" w:rsidRPr="00AF2F75" w:rsidRDefault="00A86C9E" w:rsidP="00975036">
      <w:pPr>
        <w:pStyle w:val="numberedtext"/>
        <w:numPr>
          <w:ilvl w:val="0"/>
          <w:numId w:val="23"/>
        </w:numPr>
        <w:rPr>
          <w:rFonts w:cstheme="minorHAnsi"/>
        </w:rPr>
      </w:pPr>
      <w:r w:rsidRPr="00AF2F75">
        <w:rPr>
          <w:rFonts w:cstheme="minorHAnsi"/>
        </w:rPr>
        <w:t>ASIC noted that it currently uses a number of mechanisms to promote accountability and drive continuous improvement in its surveillance work:</w:t>
      </w:r>
    </w:p>
    <w:p w14:paraId="0C8F3824" w14:textId="5D1E2DB1" w:rsidR="00A86C9E" w:rsidRPr="001F2A75" w:rsidRDefault="00A86C9E" w:rsidP="00923A66">
      <w:pPr>
        <w:pStyle w:val="Bullet"/>
      </w:pPr>
      <w:r w:rsidRPr="001F2A75">
        <w:t>Continuous improvement mechanisms include a</w:t>
      </w:r>
      <w:r w:rsidRPr="00AC543A">
        <w:rPr>
          <w:bCs/>
        </w:rPr>
        <w:t xml:space="preserve"> </w:t>
      </w:r>
      <w:r w:rsidR="00EF40B0">
        <w:rPr>
          <w:bCs/>
        </w:rPr>
        <w:t>‘</w:t>
      </w:r>
      <w:r w:rsidRPr="00AC543A">
        <w:rPr>
          <w:bCs/>
        </w:rPr>
        <w:t>lessons learned</w:t>
      </w:r>
      <w:r w:rsidR="00EF40B0">
        <w:rPr>
          <w:bCs/>
        </w:rPr>
        <w:t>’</w:t>
      </w:r>
      <w:r w:rsidRPr="00AC543A">
        <w:rPr>
          <w:bCs/>
        </w:rPr>
        <w:t xml:space="preserve"> process to encourage </w:t>
      </w:r>
      <w:r w:rsidRPr="001F2A75">
        <w:t xml:space="preserve">ASIC </w:t>
      </w:r>
      <w:r w:rsidRPr="00636AE3">
        <w:t xml:space="preserve">staff to reflect </w:t>
      </w:r>
      <w:r w:rsidRPr="00923A66">
        <w:t>on</w:t>
      </w:r>
      <w:r w:rsidRPr="00636AE3">
        <w:t xml:space="preserve"> surveillances and identify areas for improvement</w:t>
      </w:r>
      <w:r w:rsidRPr="001F2A75">
        <w:t>,</w:t>
      </w:r>
      <w:r w:rsidRPr="00636AE3">
        <w:t xml:space="preserve"> as well </w:t>
      </w:r>
      <w:r>
        <w:t xml:space="preserve">as </w:t>
      </w:r>
      <w:r w:rsidRPr="002028B0">
        <w:t>p</w:t>
      </w:r>
      <w:r w:rsidRPr="00AC543A">
        <w:rPr>
          <w:bCs/>
        </w:rPr>
        <w:t>ost</w:t>
      </w:r>
      <w:r w:rsidR="00EF40B0">
        <w:rPr>
          <w:bCs/>
        </w:rPr>
        <w:noBreakHyphen/>
      </w:r>
      <w:r w:rsidRPr="00AC543A">
        <w:rPr>
          <w:bCs/>
        </w:rPr>
        <w:t xml:space="preserve">surveillance reviews to determine whether entities have responded to recommendations made by ASIC. </w:t>
      </w:r>
    </w:p>
    <w:p w14:paraId="6D69640A" w14:textId="46D27407" w:rsidR="00A86C9E" w:rsidRPr="00636AE3" w:rsidRDefault="00A86C9E" w:rsidP="00923A66">
      <w:pPr>
        <w:pStyle w:val="Bullet"/>
      </w:pPr>
      <w:r>
        <w:t xml:space="preserve">Internal </w:t>
      </w:r>
      <w:r w:rsidRPr="00923A66">
        <w:t>accountability</w:t>
      </w:r>
      <w:r>
        <w:t xml:space="preserve"> mechanisms include monitoring the efficiency of surveillance activities through consolidated organisational performance reporting, quarterly performance reports </w:t>
      </w:r>
      <w:r w:rsidR="00585184">
        <w:t xml:space="preserve">generated in </w:t>
      </w:r>
      <w:r>
        <w:t>StrategyDotZero</w:t>
      </w:r>
      <w:r w:rsidR="00585184">
        <w:t>,</w:t>
      </w:r>
      <w:r>
        <w:t xml:space="preserve"> and monthly reporting from ASIC</w:t>
      </w:r>
      <w:r w:rsidR="00EF40B0">
        <w:t>’</w:t>
      </w:r>
      <w:r w:rsidR="00585184">
        <w:t>s</w:t>
      </w:r>
      <w:r>
        <w:t xml:space="preserve"> CRM</w:t>
      </w:r>
      <w:r w:rsidR="003E1E7C">
        <w:t xml:space="preserve"> system</w:t>
      </w:r>
      <w:r>
        <w:t>.</w:t>
      </w:r>
    </w:p>
    <w:p w14:paraId="7F2FBEDA" w14:textId="3168A35C" w:rsidR="00A86C9E" w:rsidRPr="001F2A75" w:rsidRDefault="00A86C9E" w:rsidP="00923A66">
      <w:pPr>
        <w:pStyle w:val="Bullet"/>
      </w:pPr>
      <w:r>
        <w:t xml:space="preserve">External </w:t>
      </w:r>
      <w:r w:rsidRPr="00923A66">
        <w:t>accountability</w:t>
      </w:r>
      <w:r>
        <w:t xml:space="preserve"> mechanisms include</w:t>
      </w:r>
      <w:r w:rsidRPr="001F2A75">
        <w:t xml:space="preserve"> reporting</w:t>
      </w:r>
      <w:r>
        <w:t xml:space="preserve"> outcomes through</w:t>
      </w:r>
      <w:r w:rsidRPr="00636AE3">
        <w:t xml:space="preserve"> </w:t>
      </w:r>
      <w:r w:rsidRPr="00AC543A">
        <w:t>documents such as the Annual Report (</w:t>
      </w:r>
      <w:r w:rsidR="00DD7611">
        <w:t>refer</w:t>
      </w:r>
      <w:r w:rsidRPr="00AC543A">
        <w:t xml:space="preserve"> </w:t>
      </w:r>
      <w:r w:rsidR="00600370">
        <w:t xml:space="preserve">paragraph </w:t>
      </w:r>
      <w:r w:rsidR="00A6032A">
        <w:t>1.15</w:t>
      </w:r>
      <w:r w:rsidRPr="00AC543A">
        <w:t>). Measures reported include the number of surveillances completed by team, as well as associated outcomes (for example, quantum of potentially misleading or deceptive promotional material withdrawn or amended).</w:t>
      </w:r>
    </w:p>
    <w:p w14:paraId="65B9AEB3" w14:textId="51F4EC28" w:rsidR="00A86C9E" w:rsidRPr="00AF2F75" w:rsidRDefault="00A86C9E" w:rsidP="00975036">
      <w:pPr>
        <w:pStyle w:val="numberedtext"/>
        <w:numPr>
          <w:ilvl w:val="0"/>
          <w:numId w:val="23"/>
        </w:numPr>
        <w:rPr>
          <w:rFonts w:cstheme="minorHAnsi"/>
        </w:rPr>
      </w:pPr>
      <w:r w:rsidRPr="00AF2F75">
        <w:rPr>
          <w:rFonts w:cstheme="minorHAnsi"/>
        </w:rPr>
        <w:t>Despite the above, in its self</w:t>
      </w:r>
      <w:r w:rsidR="00EF40B0">
        <w:rPr>
          <w:rFonts w:cstheme="minorHAnsi"/>
        </w:rPr>
        <w:noBreakHyphen/>
      </w:r>
      <w:r w:rsidRPr="00AF2F75">
        <w:rPr>
          <w:rFonts w:cstheme="minorHAnsi"/>
        </w:rPr>
        <w:t>assessment, ASIC recognised that there remains scope to improve the measurement of its surveillance impact. This would help inform planning, decision</w:t>
      </w:r>
      <w:r w:rsidR="00EF40B0">
        <w:rPr>
          <w:rFonts w:cstheme="minorHAnsi"/>
        </w:rPr>
        <w:noBreakHyphen/>
      </w:r>
      <w:r w:rsidRPr="00AF2F75">
        <w:rPr>
          <w:rFonts w:cstheme="minorHAnsi"/>
        </w:rPr>
        <w:t>making and resource allocation. Until recently, ASIC did not have a fully embedded process for measuring the impact of its surveillance activities.</w:t>
      </w:r>
    </w:p>
    <w:p w14:paraId="1F6FEC76" w14:textId="51F82AC8" w:rsidR="00A86C9E" w:rsidRPr="00AF2F75" w:rsidRDefault="00A86C9E" w:rsidP="00975036">
      <w:pPr>
        <w:pStyle w:val="numberedtext"/>
        <w:numPr>
          <w:ilvl w:val="0"/>
          <w:numId w:val="23"/>
        </w:numPr>
        <w:rPr>
          <w:rFonts w:cstheme="minorHAnsi"/>
        </w:rPr>
      </w:pPr>
      <w:r w:rsidRPr="00AF2F75">
        <w:rPr>
          <w:rFonts w:cstheme="minorHAnsi"/>
        </w:rPr>
        <w:t xml:space="preserve">Some ASIC surveillance staff </w:t>
      </w:r>
      <w:r w:rsidR="005B08D3">
        <w:rPr>
          <w:rFonts w:cstheme="minorHAnsi"/>
        </w:rPr>
        <w:t xml:space="preserve">members </w:t>
      </w:r>
      <w:r w:rsidRPr="00AF2F75">
        <w:rPr>
          <w:rFonts w:cstheme="minorHAnsi"/>
        </w:rPr>
        <w:t xml:space="preserve">echoed this sentiment in survey comments. </w:t>
      </w:r>
    </w:p>
    <w:p w14:paraId="23CF1FC5" w14:textId="4BD41152" w:rsidR="00A86C9E" w:rsidRPr="0068714C" w:rsidRDefault="00EF40B0" w:rsidP="007D4979">
      <w:pPr>
        <w:pStyle w:val="Quote"/>
      </w:pPr>
      <w:r>
        <w:t>‘</w:t>
      </w:r>
      <w:r w:rsidR="00A86C9E" w:rsidRPr="00F7690E">
        <w:t>Outcomes, goals and related metrics for thematic and programmatic surveillance need to be more clearly defined. There has been a drive to do this in more recent years and improvement have been made, but further work is still needed</w:t>
      </w:r>
      <w:r w:rsidR="00A86C9E">
        <w:t>.</w:t>
      </w:r>
      <w:r>
        <w:t>’</w:t>
      </w:r>
      <w:r w:rsidR="00A86C9E" w:rsidRPr="00F7690E">
        <w:t xml:space="preserve"> </w:t>
      </w:r>
      <w:r w:rsidR="00600370">
        <w:t xml:space="preserve">– </w:t>
      </w:r>
      <w:r w:rsidR="00A86C9E" w:rsidRPr="00F7690E">
        <w:t xml:space="preserve">Staff </w:t>
      </w:r>
      <w:r w:rsidR="00BD6C8F">
        <w:t>s</w:t>
      </w:r>
      <w:r w:rsidR="00A86C9E" w:rsidRPr="00F7690E">
        <w:t>urvey</w:t>
      </w:r>
    </w:p>
    <w:p w14:paraId="5C02852F" w14:textId="7704F702" w:rsidR="00A86C9E" w:rsidRPr="00AF2F75" w:rsidRDefault="00A86C9E" w:rsidP="00975036">
      <w:pPr>
        <w:pStyle w:val="numberedtext"/>
        <w:numPr>
          <w:ilvl w:val="0"/>
          <w:numId w:val="23"/>
        </w:numPr>
        <w:rPr>
          <w:rFonts w:cstheme="minorHAnsi"/>
        </w:rPr>
      </w:pPr>
      <w:bookmarkStart w:id="107" w:name="_Ref110262324"/>
      <w:r w:rsidRPr="00AF2F75">
        <w:rPr>
          <w:rFonts w:cstheme="minorHAnsi"/>
        </w:rPr>
        <w:t>In response to these concerns, ASIC has developed and begun to embed an evidence</w:t>
      </w:r>
      <w:r w:rsidR="00EF40B0">
        <w:rPr>
          <w:rFonts w:cstheme="minorHAnsi"/>
        </w:rPr>
        <w:noBreakHyphen/>
      </w:r>
      <w:r w:rsidRPr="00AF2F75">
        <w:rPr>
          <w:rFonts w:cstheme="minorHAnsi"/>
        </w:rPr>
        <w:t xml:space="preserve">based </w:t>
      </w:r>
      <w:r w:rsidR="00EF40B0">
        <w:rPr>
          <w:rFonts w:cstheme="minorHAnsi"/>
        </w:rPr>
        <w:t>‘</w:t>
      </w:r>
      <w:r w:rsidRPr="00AF2F75">
        <w:rPr>
          <w:rFonts w:cstheme="minorHAnsi"/>
        </w:rPr>
        <w:t>impact assessment framework</w:t>
      </w:r>
      <w:r w:rsidR="00EF40B0">
        <w:rPr>
          <w:rFonts w:cstheme="minorHAnsi"/>
        </w:rPr>
        <w:t>’</w:t>
      </w:r>
      <w:r w:rsidRPr="00AF2F75">
        <w:rPr>
          <w:rFonts w:cstheme="minorHAnsi"/>
        </w:rPr>
        <w:t xml:space="preserve"> for testing the effectiveness of major surveillances and thematic reviews. The framework will help the Commission better understand whether ASIC</w:t>
      </w:r>
      <w:r w:rsidR="00EF40B0">
        <w:rPr>
          <w:rFonts w:cstheme="minorHAnsi"/>
        </w:rPr>
        <w:t>’</w:t>
      </w:r>
      <w:r w:rsidRPr="00AF2F75">
        <w:rPr>
          <w:rFonts w:cstheme="minorHAnsi"/>
        </w:rPr>
        <w:t>s major surveillances have been effective in addressing key risks and priorities.</w:t>
      </w:r>
      <w:bookmarkEnd w:id="107"/>
    </w:p>
    <w:p w14:paraId="67BC33E3" w14:textId="4BFEA4B2" w:rsidR="00A86C9E" w:rsidRPr="00AF2F75" w:rsidRDefault="00A86C9E" w:rsidP="00975036">
      <w:pPr>
        <w:pStyle w:val="numberedtext"/>
        <w:numPr>
          <w:ilvl w:val="0"/>
          <w:numId w:val="23"/>
        </w:numPr>
        <w:rPr>
          <w:rFonts w:cstheme="minorHAnsi"/>
        </w:rPr>
      </w:pPr>
      <w:r w:rsidRPr="00AF2F75">
        <w:rPr>
          <w:rFonts w:cstheme="minorHAnsi"/>
        </w:rPr>
        <w:t>Under the framework, ASIC is required to identify the harm it seeks to address, as well as associated outcomes and metrics. Teams must then monitor and test how these outcomes and metrics change by reason of ASIC</w:t>
      </w:r>
      <w:r w:rsidR="00EF40B0">
        <w:rPr>
          <w:rFonts w:cstheme="minorHAnsi"/>
        </w:rPr>
        <w:t>’</w:t>
      </w:r>
      <w:r w:rsidRPr="00AF2F75">
        <w:rPr>
          <w:rFonts w:cstheme="minorHAnsi"/>
        </w:rPr>
        <w:t xml:space="preserve">s intervention. All projects included in 2022 business plans that involve addressing broad or systematic harms must apply the framework. </w:t>
      </w:r>
    </w:p>
    <w:p w14:paraId="3A1F872C" w14:textId="77777777" w:rsidR="00A86C9E" w:rsidRPr="00AF2F75" w:rsidRDefault="00A86C9E" w:rsidP="00975036">
      <w:pPr>
        <w:pStyle w:val="numberedtext"/>
        <w:numPr>
          <w:ilvl w:val="0"/>
          <w:numId w:val="23"/>
        </w:numPr>
        <w:rPr>
          <w:rFonts w:cstheme="minorHAnsi"/>
        </w:rPr>
      </w:pPr>
      <w:r w:rsidRPr="00AF2F75">
        <w:rPr>
          <w:rFonts w:cstheme="minorHAnsi"/>
        </w:rPr>
        <w:t xml:space="preserve">Implementation of the impact assessment framework will help improve accountability by enabling ASIC to better articulate and communicate outcomes flowing from its surveillance work. </w:t>
      </w:r>
    </w:p>
    <w:p w14:paraId="6691788D" w14:textId="6593373B" w:rsidR="00A86C9E" w:rsidRPr="00AF2F75" w:rsidRDefault="00A86C9E" w:rsidP="00975036">
      <w:pPr>
        <w:pStyle w:val="numberedtext"/>
        <w:numPr>
          <w:ilvl w:val="0"/>
          <w:numId w:val="23"/>
        </w:numPr>
        <w:rPr>
          <w:rFonts w:cstheme="minorHAnsi"/>
        </w:rPr>
      </w:pPr>
      <w:r w:rsidRPr="00AF2F75">
        <w:rPr>
          <w:rFonts w:cstheme="minorHAnsi"/>
        </w:rPr>
        <w:lastRenderedPageBreak/>
        <w:t xml:space="preserve">ASIC is also developing a granular time recording system. The system will allow ASIC staff </w:t>
      </w:r>
      <w:r w:rsidR="00073D39">
        <w:rPr>
          <w:rFonts w:cstheme="minorHAnsi"/>
        </w:rPr>
        <w:t xml:space="preserve">members </w:t>
      </w:r>
      <w:r w:rsidRPr="00AF2F75">
        <w:rPr>
          <w:rFonts w:cstheme="minorHAnsi"/>
        </w:rPr>
        <w:t>to record time against a specific case or surveillance and industry subsector, enabling more accurate efficiency measurement.</w:t>
      </w:r>
    </w:p>
    <w:p w14:paraId="75CAA3B1" w14:textId="77777777" w:rsidR="00A86C9E" w:rsidRPr="00AF2F75" w:rsidRDefault="00A86C9E" w:rsidP="00975036">
      <w:pPr>
        <w:pStyle w:val="numberedtext"/>
        <w:numPr>
          <w:ilvl w:val="0"/>
          <w:numId w:val="23"/>
        </w:numPr>
        <w:rPr>
          <w:rFonts w:cstheme="minorHAnsi"/>
        </w:rPr>
      </w:pPr>
      <w:r w:rsidRPr="00AF2F75">
        <w:rPr>
          <w:rFonts w:cstheme="minorHAnsi"/>
        </w:rPr>
        <w:t>The FRAA considers the measurement of surveillance impact to be a key component of an effective and capable surveillance function and encourages ASIC to ensure the impact assessment framework is appropriately embedded and utilised as soon as practicable. The FRAA expects ASIC to undertake regular reviews of its appropriateness and iterate as necessary.</w:t>
      </w:r>
    </w:p>
    <w:p w14:paraId="79F6C1C5" w14:textId="77777777" w:rsidR="00A86C9E" w:rsidRPr="00EF548F" w:rsidRDefault="00A86C9E" w:rsidP="00EF548F">
      <w:pPr>
        <w:pStyle w:val="Heading2"/>
      </w:pPr>
      <w:bookmarkStart w:id="108" w:name="_Toc110241830"/>
      <w:r w:rsidRPr="00EF548F">
        <w:t>Planned initiatives</w:t>
      </w:r>
      <w:bookmarkEnd w:id="108"/>
    </w:p>
    <w:p w14:paraId="0A74A82B" w14:textId="0C510BFC" w:rsidR="00A86C9E" w:rsidRPr="00AF2F75" w:rsidRDefault="00A86C9E" w:rsidP="00975036">
      <w:pPr>
        <w:pStyle w:val="numberedtext"/>
        <w:numPr>
          <w:ilvl w:val="0"/>
          <w:numId w:val="23"/>
        </w:numPr>
        <w:rPr>
          <w:rFonts w:cstheme="minorHAnsi"/>
        </w:rPr>
      </w:pPr>
      <w:r w:rsidRPr="00AF2F75">
        <w:rPr>
          <w:rFonts w:cstheme="minorHAnsi"/>
        </w:rPr>
        <w:t xml:space="preserve">Throughout this </w:t>
      </w:r>
      <w:r w:rsidR="00FF1551">
        <w:rPr>
          <w:rFonts w:cstheme="minorHAnsi"/>
        </w:rPr>
        <w:t>r</w:t>
      </w:r>
      <w:r w:rsidRPr="00AF2F75">
        <w:rPr>
          <w:rFonts w:cstheme="minorHAnsi"/>
        </w:rPr>
        <w:t xml:space="preserve">eview, ASIC has identified a number of initiatives to improve the effectiveness and capability of its surveillance function. These are summarised in </w:t>
      </w:r>
      <w:r w:rsidR="00A6032A" w:rsidRPr="004E21EA">
        <w:t>Box 4.2</w:t>
      </w:r>
      <w:r w:rsidR="00CF3ED5">
        <w:rPr>
          <w:rFonts w:cstheme="minorHAnsi"/>
        </w:rPr>
        <w:t>.</w:t>
      </w:r>
    </w:p>
    <w:tbl>
      <w:tblPr>
        <w:tblStyle w:val="TableGrid"/>
        <w:tblW w:w="0" w:type="auto"/>
        <w:tblInd w:w="567" w:type="dxa"/>
        <w:shd w:val="clear" w:color="auto" w:fill="EAEAEA" w:themeFill="background2"/>
        <w:tblCellMar>
          <w:top w:w="170" w:type="dxa"/>
          <w:left w:w="170" w:type="dxa"/>
          <w:bottom w:w="170" w:type="dxa"/>
          <w:right w:w="170" w:type="dxa"/>
        </w:tblCellMar>
        <w:tblLook w:val="04A0" w:firstRow="1" w:lastRow="0" w:firstColumn="1" w:lastColumn="0" w:noHBand="0" w:noVBand="1"/>
      </w:tblPr>
      <w:tblGrid>
        <w:gridCol w:w="8503"/>
      </w:tblGrid>
      <w:tr w:rsidR="00A86C9E" w14:paraId="3E060563" w14:textId="77777777" w:rsidTr="007D4979">
        <w:tc>
          <w:tcPr>
            <w:tcW w:w="9016" w:type="dxa"/>
            <w:tcBorders>
              <w:top w:val="nil"/>
              <w:left w:val="nil"/>
              <w:bottom w:val="nil"/>
              <w:right w:val="nil"/>
            </w:tcBorders>
            <w:shd w:val="clear" w:color="auto" w:fill="EAEAEA" w:themeFill="background2"/>
          </w:tcPr>
          <w:p w14:paraId="38642801" w14:textId="77777777" w:rsidR="00A86C9E" w:rsidRPr="004E21EA" w:rsidRDefault="00A86C9E" w:rsidP="007D4979">
            <w:pPr>
              <w:pStyle w:val="BoxHeading"/>
            </w:pPr>
            <w:bookmarkStart w:id="109" w:name="Box_4_2"/>
            <w:r w:rsidRPr="004E21EA">
              <w:t>Box 4.2</w:t>
            </w:r>
            <w:bookmarkEnd w:id="109"/>
            <w:r w:rsidRPr="004E21EA">
              <w:t xml:space="preserve">: </w:t>
            </w:r>
            <w:r>
              <w:t xml:space="preserve">Current </w:t>
            </w:r>
            <w:r w:rsidRPr="004E21EA">
              <w:t>ASIC actions to improve the effectiveness and capability of its surveillance function</w:t>
            </w:r>
          </w:p>
          <w:p w14:paraId="755F728C" w14:textId="192F97DE" w:rsidR="00A86C9E" w:rsidRPr="00E55AD5" w:rsidRDefault="00A86C9E" w:rsidP="007D4979">
            <w:pPr>
              <w:pStyle w:val="BoxBullet"/>
            </w:pPr>
            <w:r w:rsidRPr="00E55AD5">
              <w:t>Embedment of an Impact Assessment Framework (</w:t>
            </w:r>
            <w:r w:rsidR="00B841DC">
              <w:t>20</w:t>
            </w:r>
            <w:r w:rsidRPr="00E55AD5">
              <w:t>22</w:t>
            </w:r>
            <w:r w:rsidR="0002781C">
              <w:t>–</w:t>
            </w:r>
            <w:r w:rsidRPr="00E55AD5">
              <w:t>23)</w:t>
            </w:r>
          </w:p>
          <w:p w14:paraId="69BA49EF" w14:textId="77777777" w:rsidR="00A86C9E" w:rsidRPr="00E55AD5" w:rsidRDefault="00A86C9E" w:rsidP="007D4979">
            <w:pPr>
              <w:pStyle w:val="BoxBullet"/>
            </w:pPr>
            <w:r w:rsidRPr="00E55AD5">
              <w:t>Implementation of a capability framework, people strategy and digital uplift program (ongoing)</w:t>
            </w:r>
          </w:p>
          <w:p w14:paraId="2AB35760" w14:textId="77777777" w:rsidR="00A86C9E" w:rsidRPr="00E55AD5" w:rsidRDefault="00A86C9E" w:rsidP="007D4979">
            <w:pPr>
              <w:pStyle w:val="BoxBullet"/>
            </w:pPr>
            <w:r w:rsidRPr="00E55AD5">
              <w:t>Recruitment of Head of Workforce Management (ongoing)</w:t>
            </w:r>
          </w:p>
          <w:p w14:paraId="3D2BD9E3" w14:textId="77777777" w:rsidR="00A86C9E" w:rsidRPr="00E55AD5" w:rsidRDefault="00A86C9E" w:rsidP="007D4979">
            <w:pPr>
              <w:pStyle w:val="BoxBullet"/>
            </w:pPr>
            <w:r w:rsidRPr="00E55AD5">
              <w:t>Continued focus on communication of surveillance outcomes (ongoing)</w:t>
            </w:r>
          </w:p>
          <w:p w14:paraId="5652B567" w14:textId="06CF3E33" w:rsidR="00A86C9E" w:rsidRPr="00E55AD5" w:rsidRDefault="00A86C9E" w:rsidP="007D4979">
            <w:pPr>
              <w:pStyle w:val="BoxBullet"/>
            </w:pPr>
            <w:r w:rsidRPr="00E55AD5">
              <w:t>Execution of Regulatory Efficiency Unit initiative examining the use of information</w:t>
            </w:r>
            <w:r w:rsidR="002B570D">
              <w:t>-</w:t>
            </w:r>
            <w:r w:rsidRPr="00E55AD5">
              <w:t>gathering powers (</w:t>
            </w:r>
            <w:r w:rsidR="00B841DC">
              <w:t>20</w:t>
            </w:r>
            <w:r w:rsidRPr="00E55AD5">
              <w:t>22</w:t>
            </w:r>
            <w:r w:rsidR="0002781C">
              <w:t>–</w:t>
            </w:r>
            <w:r w:rsidRPr="00E55AD5">
              <w:t xml:space="preserve">23 to </w:t>
            </w:r>
            <w:r w:rsidR="00B841DC">
              <w:t>20</w:t>
            </w:r>
            <w:r w:rsidRPr="00E55AD5">
              <w:t>23</w:t>
            </w:r>
            <w:r w:rsidR="00B02E9E">
              <w:t>–</w:t>
            </w:r>
            <w:r w:rsidRPr="00E55AD5">
              <w:t>24)</w:t>
            </w:r>
          </w:p>
        </w:tc>
      </w:tr>
    </w:tbl>
    <w:p w14:paraId="6F8271CC" w14:textId="2BA4C36C" w:rsidR="00A86C9E" w:rsidRPr="001D2DA1" w:rsidRDefault="00A86C9E" w:rsidP="00A86C9E">
      <w:pPr>
        <w:pStyle w:val="Heading2"/>
        <w:rPr>
          <w:rFonts w:asciiTheme="minorHAnsi" w:hAnsiTheme="minorHAnsi" w:cstheme="minorHAnsi"/>
          <w:szCs w:val="36"/>
        </w:rPr>
      </w:pPr>
      <w:bookmarkStart w:id="110" w:name="_Toc110241831"/>
      <w:r w:rsidRPr="00EF548F">
        <w:t>Assessmen</w:t>
      </w:r>
      <w:r w:rsidRPr="001D2DA1">
        <w:rPr>
          <w:rFonts w:asciiTheme="minorHAnsi" w:hAnsiTheme="minorHAnsi" w:cstheme="minorHAnsi"/>
          <w:szCs w:val="36"/>
        </w:rPr>
        <w:t>t</w:t>
      </w:r>
      <w:bookmarkEnd w:id="110"/>
    </w:p>
    <w:p w14:paraId="353CB702" w14:textId="6BA86C0B" w:rsidR="00CC2218" w:rsidRDefault="00CC2218" w:rsidP="00CC2218">
      <w:pPr>
        <w:pStyle w:val="ListParagraph"/>
        <w:numPr>
          <w:ilvl w:val="0"/>
          <w:numId w:val="23"/>
        </w:numPr>
        <w:contextualSpacing w:val="0"/>
        <w:rPr>
          <w:szCs w:val="22"/>
        </w:rPr>
      </w:pPr>
      <w:bookmarkStart w:id="111" w:name="_Hlk104886637"/>
      <w:r>
        <w:rPr>
          <w:szCs w:val="22"/>
        </w:rPr>
        <w:t>The FRAA</w:t>
      </w:r>
      <w:r w:rsidR="00EF40B0">
        <w:rPr>
          <w:szCs w:val="22"/>
        </w:rPr>
        <w:t>’</w:t>
      </w:r>
      <w:r>
        <w:rPr>
          <w:szCs w:val="22"/>
        </w:rPr>
        <w:t>s overall assessment is that ASIC</w:t>
      </w:r>
      <w:r w:rsidR="00EF40B0">
        <w:rPr>
          <w:szCs w:val="22"/>
        </w:rPr>
        <w:t>’</w:t>
      </w:r>
      <w:r>
        <w:rPr>
          <w:szCs w:val="22"/>
        </w:rPr>
        <w:t xml:space="preserve">s surveillance </w:t>
      </w:r>
      <w:r w:rsidRPr="00D97B7D">
        <w:rPr>
          <w:szCs w:val="22"/>
        </w:rPr>
        <w:t>function</w:t>
      </w:r>
      <w:r>
        <w:rPr>
          <w:szCs w:val="22"/>
        </w:rPr>
        <w:t xml:space="preserve"> appears to be broadly effective and capable. The FRAA identifies the following as areas where there is scope for improvement: management of regulatory impost, transparency, accountability,</w:t>
      </w:r>
      <w:bookmarkEnd w:id="111"/>
      <w:r w:rsidRPr="00D0324F">
        <w:rPr>
          <w:szCs w:val="22"/>
        </w:rPr>
        <w:t xml:space="preserve"> </w:t>
      </w:r>
      <w:r w:rsidRPr="002939A2">
        <w:rPr>
          <w:szCs w:val="22"/>
        </w:rPr>
        <w:t>organisational capability</w:t>
      </w:r>
      <w:r>
        <w:rPr>
          <w:szCs w:val="22"/>
        </w:rPr>
        <w:t xml:space="preserve"> and the use of data and technology, particularly in </w:t>
      </w:r>
      <w:r w:rsidR="00447B6D">
        <w:rPr>
          <w:szCs w:val="22"/>
        </w:rPr>
        <w:t xml:space="preserve">the </w:t>
      </w:r>
      <w:r>
        <w:rPr>
          <w:szCs w:val="22"/>
        </w:rPr>
        <w:t>Financial Services and Wealth</w:t>
      </w:r>
      <w:r w:rsidR="00447B6D">
        <w:rPr>
          <w:szCs w:val="22"/>
        </w:rPr>
        <w:t xml:space="preserve"> Group</w:t>
      </w:r>
      <w:r>
        <w:rPr>
          <w:szCs w:val="22"/>
        </w:rPr>
        <w:t>.</w:t>
      </w:r>
    </w:p>
    <w:p w14:paraId="1BCC8DAC" w14:textId="72160BDA" w:rsidR="00A86C9E" w:rsidRPr="00AF2F75" w:rsidRDefault="00A86C9E" w:rsidP="00975036">
      <w:pPr>
        <w:pStyle w:val="numberedtext"/>
        <w:numPr>
          <w:ilvl w:val="0"/>
          <w:numId w:val="23"/>
        </w:numPr>
        <w:rPr>
          <w:rFonts w:cstheme="minorHAnsi"/>
        </w:rPr>
      </w:pPr>
      <w:r w:rsidRPr="00AF2F75">
        <w:rPr>
          <w:rFonts w:cstheme="minorHAnsi"/>
        </w:rPr>
        <w:t>ASIC</w:t>
      </w:r>
      <w:r w:rsidR="00EF40B0">
        <w:rPr>
          <w:rFonts w:cstheme="minorHAnsi"/>
        </w:rPr>
        <w:t>’</w:t>
      </w:r>
      <w:r w:rsidRPr="00AF2F75">
        <w:rPr>
          <w:rFonts w:cstheme="minorHAnsi"/>
        </w:rPr>
        <w:t>s risk</w:t>
      </w:r>
      <w:r w:rsidR="00EF40B0">
        <w:rPr>
          <w:rFonts w:cstheme="minorHAnsi"/>
        </w:rPr>
        <w:noBreakHyphen/>
      </w:r>
      <w:r w:rsidRPr="00AF2F75">
        <w:rPr>
          <w:rFonts w:cstheme="minorHAnsi"/>
        </w:rPr>
        <w:t xml:space="preserve">based approach to the prioritisation of surveillances, as well as the various categories of surveillance utilised, enable it to effectively select, target and design surveillance activities. Notwithstanding areas for improvement outlined below, the FRAA notes that surveillances are generally supported by capable staff and systems, and that ASIC has measures in place, with additional measures planned, to mitigate regulatory impost and promote greater efficiency. The FRAA has not seen any evidence to suggest that surveillances are not generally effective in identifying misconduct and harm, understanding, and influencing behaviours, driving compliance, and promoting good outcomes for consumers or investors. </w:t>
      </w:r>
    </w:p>
    <w:p w14:paraId="1163CF23" w14:textId="21665B6C" w:rsidR="00A86C9E" w:rsidRPr="00AF2F75" w:rsidRDefault="00A86C9E" w:rsidP="00975036">
      <w:pPr>
        <w:pStyle w:val="numberedtext"/>
        <w:numPr>
          <w:ilvl w:val="0"/>
          <w:numId w:val="23"/>
        </w:numPr>
        <w:rPr>
          <w:rFonts w:cstheme="minorHAnsi"/>
        </w:rPr>
      </w:pPr>
      <w:r w:rsidRPr="00AF2F75">
        <w:rPr>
          <w:rFonts w:cstheme="minorHAnsi"/>
        </w:rPr>
        <w:t>The FRAA notes that there are opportunities for ASIC to refine the targeting of surveillance activities, particularly through improved use of data and analytics. ASIC can increase the efficiency of its surveillances through improved scoping of notices and information requests, as well as increased stakeholder engagement and greater utilisation of existing data (noting the limitations that may arise in relying on older data). Increased inter</w:t>
      </w:r>
      <w:r w:rsidR="00EF40B0">
        <w:rPr>
          <w:rFonts w:cstheme="minorHAnsi"/>
        </w:rPr>
        <w:noBreakHyphen/>
      </w:r>
      <w:r w:rsidRPr="00AF2F75">
        <w:rPr>
          <w:rFonts w:cstheme="minorHAnsi"/>
        </w:rPr>
        <w:t>agency and cross</w:t>
      </w:r>
      <w:r w:rsidR="00EF40B0">
        <w:rPr>
          <w:rFonts w:cstheme="minorHAnsi"/>
        </w:rPr>
        <w:noBreakHyphen/>
      </w:r>
      <w:r w:rsidRPr="00AF2F75">
        <w:rPr>
          <w:rFonts w:cstheme="minorHAnsi"/>
        </w:rPr>
        <w:t xml:space="preserve">team collaboration can help drive such an efficiency uplift. </w:t>
      </w:r>
    </w:p>
    <w:p w14:paraId="3D0E286A" w14:textId="4E1318F1" w:rsidR="00A86C9E" w:rsidRPr="00AF2F75" w:rsidRDefault="00A86C9E" w:rsidP="00975036">
      <w:pPr>
        <w:pStyle w:val="numberedtext"/>
        <w:numPr>
          <w:ilvl w:val="0"/>
          <w:numId w:val="23"/>
        </w:numPr>
        <w:rPr>
          <w:rFonts w:cstheme="minorHAnsi"/>
        </w:rPr>
      </w:pPr>
      <w:r w:rsidRPr="00AF2F75">
        <w:rPr>
          <w:rFonts w:cstheme="minorHAnsi"/>
        </w:rPr>
        <w:t>The FRAA considers there is scope to improve transparency across the lifecycle of surveillances, particularly relati</w:t>
      </w:r>
      <w:r w:rsidR="00E431B0">
        <w:rPr>
          <w:rFonts w:cstheme="minorHAnsi"/>
        </w:rPr>
        <w:t>ng</w:t>
      </w:r>
      <w:r w:rsidRPr="00AF2F75">
        <w:rPr>
          <w:rFonts w:cstheme="minorHAnsi"/>
        </w:rPr>
        <w:t xml:space="preserve"> to the communication of outcomes. Early feedback from </w:t>
      </w:r>
      <w:r w:rsidRPr="00AF2F75">
        <w:rPr>
          <w:rFonts w:cstheme="minorHAnsi"/>
        </w:rPr>
        <w:lastRenderedPageBreak/>
        <w:t>consumers and industry regarding ASIC</w:t>
      </w:r>
      <w:r w:rsidR="00EF40B0">
        <w:rPr>
          <w:rFonts w:cstheme="minorHAnsi"/>
        </w:rPr>
        <w:t>’</w:t>
      </w:r>
      <w:r w:rsidRPr="00AF2F75">
        <w:rPr>
          <w:rFonts w:cstheme="minorHAnsi"/>
        </w:rPr>
        <w:t>s recent increased focus on surveillance related communication is positive, although it is too early to determine if these measures are adequate.</w:t>
      </w:r>
    </w:p>
    <w:p w14:paraId="633134E9" w14:textId="6FFAAB0D" w:rsidR="00A86C9E" w:rsidRPr="00AF2F75" w:rsidRDefault="00A86C9E" w:rsidP="00975036">
      <w:pPr>
        <w:pStyle w:val="numberedtext"/>
        <w:numPr>
          <w:ilvl w:val="0"/>
          <w:numId w:val="23"/>
        </w:numPr>
        <w:rPr>
          <w:rFonts w:cstheme="minorHAnsi"/>
        </w:rPr>
      </w:pPr>
      <w:r w:rsidRPr="00AF2F75">
        <w:rPr>
          <w:rFonts w:cstheme="minorHAnsi"/>
        </w:rPr>
        <w:t>ASIC should continue its work to increase the measurement of the effectiveness of surveillance activity impacts in order to improve planning, resource allocation and decision</w:t>
      </w:r>
      <w:r w:rsidR="00EF40B0">
        <w:rPr>
          <w:rFonts w:cstheme="minorHAnsi"/>
        </w:rPr>
        <w:noBreakHyphen/>
      </w:r>
      <w:r w:rsidRPr="00AF2F75">
        <w:rPr>
          <w:rFonts w:cstheme="minorHAnsi"/>
        </w:rPr>
        <w:t>making.</w:t>
      </w:r>
    </w:p>
    <w:p w14:paraId="638FAD2F" w14:textId="0C541760" w:rsidR="0038160A" w:rsidRDefault="00A86C9E" w:rsidP="00975036">
      <w:pPr>
        <w:pStyle w:val="numberedtext"/>
        <w:numPr>
          <w:ilvl w:val="0"/>
          <w:numId w:val="23"/>
        </w:numPr>
        <w:rPr>
          <w:rFonts w:cstheme="minorHAnsi"/>
        </w:rPr>
      </w:pPr>
      <w:r w:rsidRPr="00AF2F75">
        <w:rPr>
          <w:rFonts w:cstheme="minorHAnsi"/>
        </w:rPr>
        <w:t xml:space="preserve">Similarly, there remains scope for improvement in ASIC staff </w:t>
      </w:r>
      <w:r w:rsidR="00964795">
        <w:rPr>
          <w:rFonts w:cstheme="minorHAnsi"/>
        </w:rPr>
        <w:t>members</w:t>
      </w:r>
      <w:r w:rsidR="00EF40B0">
        <w:rPr>
          <w:rFonts w:cstheme="minorHAnsi"/>
        </w:rPr>
        <w:t>’</w:t>
      </w:r>
      <w:r w:rsidRPr="00AF2F75">
        <w:rPr>
          <w:rFonts w:cstheme="minorHAnsi"/>
        </w:rPr>
        <w:t xml:space="preserve"> technical and regulatory skills capability, as identified under the refreshed capability framework. ASIC should continue to focus on ensuring it is adequately resourced to respond to emerging threats and harms.</w:t>
      </w:r>
    </w:p>
    <w:p w14:paraId="15DC0469" w14:textId="37988DC5" w:rsidR="00C85906" w:rsidRPr="0055673D" w:rsidRDefault="7EBDAADE" w:rsidP="6BE95C33">
      <w:pPr>
        <w:pStyle w:val="ListParagraph"/>
        <w:numPr>
          <w:ilvl w:val="0"/>
          <w:numId w:val="23"/>
        </w:numPr>
      </w:pPr>
      <w:r>
        <w:t xml:space="preserve">An uplift </w:t>
      </w:r>
      <w:r w:rsidR="4053BB31">
        <w:t>in</w:t>
      </w:r>
      <w:r>
        <w:t xml:space="preserve"> ASIC</w:t>
      </w:r>
      <w:r w:rsidR="00EF40B0">
        <w:t>’</w:t>
      </w:r>
      <w:r>
        <w:t>s surveillance systems and data and analytical capability would enhance its effectiveness in conducting surveillances. Improved use of data and technology would enable ASIC to systematically and proactively detect emerging threats, address misconduct and minimise harm. The FRAA notes that the need for such improvement is most pressing in ASIC</w:t>
      </w:r>
      <w:r w:rsidR="00EF40B0">
        <w:t>’</w:t>
      </w:r>
      <w:r>
        <w:t>s Financial Services and Wealth Group, which is comparatively less sophisticated in its data and technology capabilities than</w:t>
      </w:r>
      <w:r w:rsidR="7B9550C7">
        <w:t xml:space="preserve"> the</w:t>
      </w:r>
      <w:r>
        <w:t xml:space="preserve"> Markets Group.</w:t>
      </w:r>
      <w:r w:rsidR="7B9550C7">
        <w:t xml:space="preserve"> It is noted that the M</w:t>
      </w:r>
      <w:r w:rsidR="2A8962B6">
        <w:t>a</w:t>
      </w:r>
      <w:r w:rsidR="7B9550C7">
        <w:t>rk</w:t>
      </w:r>
      <w:r w:rsidR="2A8962B6">
        <w:t>ets Group capability has been developed in part through access to real</w:t>
      </w:r>
      <w:r w:rsidR="00EF40B0">
        <w:noBreakHyphen/>
      </w:r>
      <w:r w:rsidR="2A8962B6">
        <w:t>time data and 2 rounds of Government funding.</w:t>
      </w:r>
    </w:p>
    <w:p w14:paraId="15B6B647" w14:textId="3BF690EA" w:rsidR="00A86C9E" w:rsidRPr="00AF2F75" w:rsidRDefault="00A86C9E" w:rsidP="00975036">
      <w:pPr>
        <w:pStyle w:val="numberedtext"/>
        <w:numPr>
          <w:ilvl w:val="0"/>
          <w:numId w:val="23"/>
        </w:numPr>
        <w:rPr>
          <w:rFonts w:cstheme="minorHAnsi"/>
        </w:rPr>
      </w:pPr>
      <w:r w:rsidRPr="00AF2F75">
        <w:rPr>
          <w:rFonts w:cstheme="minorHAnsi"/>
        </w:rPr>
        <w:t>The FRAA suggests that ASIC should build a sound case for law reform and additional funding to enhance ASIC</w:t>
      </w:r>
      <w:r w:rsidR="00EF40B0">
        <w:rPr>
          <w:rFonts w:cstheme="minorHAnsi"/>
        </w:rPr>
        <w:t>’</w:t>
      </w:r>
      <w:r w:rsidRPr="00AF2F75">
        <w:rPr>
          <w:rFonts w:cstheme="minorHAnsi"/>
        </w:rPr>
        <w:t>s data collection powers and its ability to process such data. ASIC intends to work with Government to secure the necessary funding and data collection powers.</w:t>
      </w:r>
    </w:p>
    <w:p w14:paraId="3DDE2579" w14:textId="1D7B8FA5" w:rsidR="00D37AF6" w:rsidRPr="007D4979" w:rsidRDefault="00D37AF6" w:rsidP="007D4979"/>
    <w:p w14:paraId="024782EE" w14:textId="77777777" w:rsidR="00042BB2" w:rsidRPr="00042BB2" w:rsidRDefault="00042BB2" w:rsidP="007D4979">
      <w:pPr>
        <w:sectPr w:rsidR="00042BB2" w:rsidRPr="00042BB2" w:rsidSect="00526D0C">
          <w:type w:val="oddPage"/>
          <w:pgSz w:w="11906" w:h="16838" w:code="9"/>
          <w:pgMar w:top="1418" w:right="1418" w:bottom="1418" w:left="1418" w:header="709" w:footer="709" w:gutter="0"/>
          <w:cols w:space="708"/>
          <w:docGrid w:linePitch="360"/>
        </w:sectPr>
      </w:pPr>
      <w:bookmarkStart w:id="112" w:name="_Toc103249238"/>
      <w:bookmarkEnd w:id="112"/>
    </w:p>
    <w:p w14:paraId="61FCFB0E" w14:textId="57953382" w:rsidR="00181DCA" w:rsidRPr="006A54F7" w:rsidRDefault="00181DCA" w:rsidP="00181DCA">
      <w:pPr>
        <w:pStyle w:val="Heading1"/>
      </w:pPr>
      <w:bookmarkStart w:id="113" w:name="_Toc110241832"/>
      <w:bookmarkStart w:id="114" w:name="_Ref110262844"/>
      <w:bookmarkStart w:id="115" w:name="_Hlk103368761"/>
      <w:r w:rsidRPr="006A54F7">
        <w:lastRenderedPageBreak/>
        <w:t>Chapter 5: Licensing</w:t>
      </w:r>
      <w:bookmarkEnd w:id="113"/>
      <w:bookmarkEnd w:id="114"/>
      <w:r w:rsidRPr="006A54F7">
        <w:t xml:space="preserve"> </w:t>
      </w:r>
    </w:p>
    <w:p w14:paraId="78162058" w14:textId="77777777" w:rsidR="00181DCA" w:rsidRPr="00D91E1B" w:rsidRDefault="00181DCA" w:rsidP="00181DCA">
      <w:pPr>
        <w:pStyle w:val="Heading2"/>
      </w:pPr>
      <w:bookmarkStart w:id="116" w:name="_Toc110241833"/>
      <w:bookmarkEnd w:id="115"/>
      <w:r w:rsidRPr="00A02457">
        <w:rPr>
          <w:rFonts w:eastAsiaTheme="minorHAnsi"/>
        </w:rPr>
        <w:t>Introduction</w:t>
      </w:r>
      <w:bookmarkEnd w:id="116"/>
      <w:r w:rsidRPr="00D91E1B">
        <w:t xml:space="preserve"> </w:t>
      </w:r>
    </w:p>
    <w:p w14:paraId="03E3CFE0" w14:textId="593134DC" w:rsidR="00181DCA" w:rsidRPr="00AF2F75" w:rsidRDefault="00181DCA" w:rsidP="00975036">
      <w:pPr>
        <w:pStyle w:val="numberedtext"/>
        <w:numPr>
          <w:ilvl w:val="0"/>
          <w:numId w:val="24"/>
        </w:numPr>
        <w:rPr>
          <w:rFonts w:cstheme="minorHAnsi"/>
        </w:rPr>
      </w:pPr>
      <w:r w:rsidRPr="00AF2F75">
        <w:rPr>
          <w:rFonts w:cstheme="minorHAnsi"/>
        </w:rPr>
        <w:t>This chapter provides a description of ASIC</w:t>
      </w:r>
      <w:r w:rsidR="00EF40B0">
        <w:rPr>
          <w:rFonts w:cstheme="minorHAnsi"/>
        </w:rPr>
        <w:t>’</w:t>
      </w:r>
      <w:r w:rsidRPr="00AF2F75">
        <w:rPr>
          <w:rFonts w:cstheme="minorHAnsi"/>
        </w:rPr>
        <w:t>s licensing function, considers feedback from stakeholders and ASIC staff, and outlines actions ASIC currently has underway to improve its licensing function. This chapter concludes with an overall assessment of ASIC</w:t>
      </w:r>
      <w:r w:rsidR="00EF40B0">
        <w:rPr>
          <w:rFonts w:cstheme="minorHAnsi"/>
        </w:rPr>
        <w:t>’</w:t>
      </w:r>
      <w:r w:rsidRPr="00AF2F75">
        <w:rPr>
          <w:rFonts w:cstheme="minorHAnsi"/>
        </w:rPr>
        <w:t>s effectiveness and capability in licensing.</w:t>
      </w:r>
    </w:p>
    <w:p w14:paraId="55AA7A3F" w14:textId="707E8417" w:rsidR="00181DCA" w:rsidRPr="00362AB4" w:rsidRDefault="00181DCA" w:rsidP="00975036">
      <w:pPr>
        <w:pStyle w:val="numberedtext"/>
        <w:numPr>
          <w:ilvl w:val="0"/>
          <w:numId w:val="24"/>
        </w:numPr>
      </w:pPr>
      <w:r w:rsidRPr="73AAEA76">
        <w:t>An effective licensing function ensures only those who are proper, competent and have adequate resources and systems</w:t>
      </w:r>
      <w:r w:rsidR="00A02457">
        <w:t>,</w:t>
      </w:r>
      <w:r w:rsidR="00A02457" w:rsidRPr="73AAEA76">
        <w:t xml:space="preserve"> are able to </w:t>
      </w:r>
      <w:r w:rsidR="00FC45E9">
        <w:t>enter</w:t>
      </w:r>
      <w:r w:rsidR="00A02457" w:rsidRPr="73AAEA76">
        <w:t xml:space="preserve"> in the financial system. It supports ASIC</w:t>
      </w:r>
      <w:r w:rsidR="00EF40B0">
        <w:t>’</w:t>
      </w:r>
      <w:r w:rsidR="00A02457" w:rsidRPr="73AAEA76">
        <w:t>s regulatory mandate to</w:t>
      </w:r>
      <w:r w:rsidR="00A02457">
        <w:t>:</w:t>
      </w:r>
    </w:p>
    <w:p w14:paraId="0820B3BC" w14:textId="4B3308E0" w:rsidR="00A02457" w:rsidRPr="00611F2F" w:rsidRDefault="00A02457" w:rsidP="00923A66">
      <w:pPr>
        <w:pStyle w:val="Bullet"/>
      </w:pPr>
      <w:r w:rsidRPr="00611F2F">
        <w:t xml:space="preserve">promote the confident </w:t>
      </w:r>
      <w:r w:rsidRPr="00923A66">
        <w:t>and</w:t>
      </w:r>
      <w:r w:rsidRPr="00611F2F">
        <w:t xml:space="preserve"> informed participation of investors and consumers</w:t>
      </w:r>
    </w:p>
    <w:p w14:paraId="699BD589" w14:textId="77777777" w:rsidR="00A02457" w:rsidRPr="00611F2F" w:rsidRDefault="00A02457" w:rsidP="00923A66">
      <w:pPr>
        <w:pStyle w:val="Bullet"/>
      </w:pPr>
      <w:r w:rsidRPr="00611F2F">
        <w:t xml:space="preserve">maintain, facilitate and </w:t>
      </w:r>
      <w:r w:rsidRPr="00923A66">
        <w:t>improve</w:t>
      </w:r>
      <w:r w:rsidRPr="00611F2F">
        <w:t xml:space="preserve"> the performance of</w:t>
      </w:r>
      <w:r w:rsidRPr="00611F2F" w:rsidDel="000E0B34">
        <w:t xml:space="preserve"> the financial system</w:t>
      </w:r>
      <w:r w:rsidRPr="00611F2F">
        <w:t xml:space="preserve"> and entities in it.</w:t>
      </w:r>
      <w:r w:rsidRPr="00611F2F">
        <w:rPr>
          <w:vertAlign w:val="superscript"/>
        </w:rPr>
        <w:footnoteReference w:id="124"/>
      </w:r>
      <w:r w:rsidRPr="00611F2F">
        <w:t xml:space="preserve"> </w:t>
      </w:r>
    </w:p>
    <w:p w14:paraId="1A5BE959" w14:textId="77777777" w:rsidR="00A02457" w:rsidRPr="00362AB4" w:rsidRDefault="00A02457" w:rsidP="00A02457">
      <w:pPr>
        <w:pStyle w:val="numberedtext"/>
        <w:ind w:left="567" w:firstLine="0"/>
      </w:pPr>
      <w:r w:rsidRPr="73AAEA76" w:rsidDel="000B4929">
        <w:t xml:space="preserve">Licensing </w:t>
      </w:r>
      <w:r w:rsidRPr="73AAEA76">
        <w:t>seeks to minimise harm and misconduct, and to reduce the need for more costly surveillance and enforcement activities.</w:t>
      </w:r>
    </w:p>
    <w:p w14:paraId="5313C97B" w14:textId="77777777" w:rsidR="00181DCA" w:rsidRPr="00A02457" w:rsidRDefault="00181DCA" w:rsidP="00181DCA">
      <w:pPr>
        <w:pStyle w:val="Heading2"/>
        <w:rPr>
          <w:rFonts w:eastAsiaTheme="minorHAnsi"/>
        </w:rPr>
      </w:pPr>
      <w:bookmarkStart w:id="117" w:name="_Toc110241834"/>
      <w:r w:rsidRPr="00A02457">
        <w:rPr>
          <w:rFonts w:eastAsiaTheme="minorHAnsi"/>
        </w:rPr>
        <w:t>Licensing at ASIC</w:t>
      </w:r>
      <w:bookmarkEnd w:id="117"/>
    </w:p>
    <w:p w14:paraId="39255ED5" w14:textId="1838B6B4" w:rsidR="00181DCA" w:rsidRPr="00CD2CDE" w:rsidRDefault="00181DCA" w:rsidP="00975036">
      <w:pPr>
        <w:pStyle w:val="numberedtext"/>
        <w:numPr>
          <w:ilvl w:val="0"/>
          <w:numId w:val="24"/>
        </w:numPr>
      </w:pPr>
      <w:r w:rsidRPr="008D6E9A">
        <w:t>ASIC</w:t>
      </w:r>
      <w:r w:rsidR="00EF40B0">
        <w:t>’</w:t>
      </w:r>
      <w:r w:rsidRPr="008D6E9A">
        <w:t>s</w:t>
      </w:r>
      <w:r w:rsidRPr="09EC3CF8">
        <w:t xml:space="preserve"> licensing function acts as a gatekeeper </w:t>
      </w:r>
      <w:r w:rsidRPr="09EC3CF8" w:rsidDel="00253E1F">
        <w:t>govern</w:t>
      </w:r>
      <w:r w:rsidRPr="09EC3CF8">
        <w:t>ing</w:t>
      </w:r>
      <w:r w:rsidRPr="09EC3CF8" w:rsidDel="00253E1F">
        <w:t xml:space="preserve"> entry into </w:t>
      </w:r>
      <w:r w:rsidRPr="09EC3CF8">
        <w:t>Australia</w:t>
      </w:r>
      <w:r w:rsidR="00EF40B0">
        <w:t>’</w:t>
      </w:r>
      <w:r w:rsidRPr="09EC3CF8">
        <w:t>s</w:t>
      </w:r>
      <w:r w:rsidRPr="09EC3CF8" w:rsidDel="00253E1F">
        <w:t xml:space="preserve"> financial system</w:t>
      </w:r>
      <w:r w:rsidRPr="09EC3CF8">
        <w:t xml:space="preserve">. </w:t>
      </w:r>
      <w:r w:rsidR="00A02457">
        <w:t>ASIC</w:t>
      </w:r>
      <w:r w:rsidR="00EF40B0">
        <w:t>’</w:t>
      </w:r>
      <w:r w:rsidR="00A02457">
        <w:t xml:space="preserve">s </w:t>
      </w:r>
      <w:r w:rsidR="00A02457" w:rsidRPr="09EC3CF8">
        <w:t>l</w:t>
      </w:r>
      <w:r w:rsidR="00A02457" w:rsidRPr="00CD2CDE">
        <w:t xml:space="preserve">icensing activities represent approximately </w:t>
      </w:r>
      <w:r w:rsidR="00A02457" w:rsidRPr="00CD2CDE" w:rsidDel="7E04BC8A">
        <w:t>1</w:t>
      </w:r>
      <w:r w:rsidR="00A02457" w:rsidRPr="00CD2CDE">
        <w:t>% of ASIC</w:t>
      </w:r>
      <w:r w:rsidR="00EF40B0">
        <w:t>’</w:t>
      </w:r>
      <w:r w:rsidR="00A02457" w:rsidRPr="00CD2CDE">
        <w:t xml:space="preserve">s total departmental appropriation ($4 million of $422 million in </w:t>
      </w:r>
      <w:r w:rsidR="00B841DC">
        <w:t>20</w:t>
      </w:r>
      <w:r w:rsidR="00A02457" w:rsidRPr="00CD2CDE">
        <w:t>21</w:t>
      </w:r>
      <w:r w:rsidR="00B10941">
        <w:t>–</w:t>
      </w:r>
      <w:r w:rsidR="00A02457" w:rsidRPr="00CD2CDE">
        <w:t>22), and 1.5% of ASIC</w:t>
      </w:r>
      <w:r w:rsidR="00EF40B0">
        <w:t>’</w:t>
      </w:r>
      <w:r w:rsidR="00A02457" w:rsidRPr="00CD2CDE">
        <w:t>s staff.</w:t>
      </w:r>
      <w:r w:rsidR="00A02457" w:rsidRPr="002B56BC">
        <w:rPr>
          <w:vertAlign w:val="superscript"/>
        </w:rPr>
        <w:footnoteReference w:id="125"/>
      </w:r>
      <w:r w:rsidR="00A02457" w:rsidRPr="00CD2CDE">
        <w:t xml:space="preserve"> </w:t>
      </w:r>
    </w:p>
    <w:p w14:paraId="69B3E17A" w14:textId="0C79D07E" w:rsidR="00181DCA" w:rsidRPr="0093770F" w:rsidRDefault="00181DCA" w:rsidP="00975036">
      <w:pPr>
        <w:pStyle w:val="numberedtext"/>
        <w:numPr>
          <w:ilvl w:val="0"/>
          <w:numId w:val="24"/>
        </w:numPr>
        <w:rPr>
          <w:rFonts w:cstheme="minorHAnsi"/>
        </w:rPr>
      </w:pPr>
      <w:r w:rsidRPr="0093770F">
        <w:rPr>
          <w:rFonts w:cstheme="minorHAnsi"/>
        </w:rPr>
        <w:t>ASIC administers the licensing regimes for the AFSL, the ACL, and auditor and liquidator</w:t>
      </w:r>
      <w:r w:rsidRPr="0093770F" w:rsidDel="00C527A0">
        <w:rPr>
          <w:rFonts w:cstheme="minorHAnsi"/>
        </w:rPr>
        <w:t xml:space="preserve"> registrations</w:t>
      </w:r>
      <w:r w:rsidRPr="0093770F">
        <w:rPr>
          <w:rFonts w:cstheme="minorHAnsi"/>
        </w:rPr>
        <w:t>.</w:t>
      </w:r>
      <w:r w:rsidRPr="0093770F">
        <w:rPr>
          <w:rStyle w:val="FootnoteReference"/>
          <w:rFonts w:cstheme="minorHAnsi"/>
          <w:sz w:val="22"/>
        </w:rPr>
        <w:footnoteReference w:id="126"/>
      </w:r>
      <w:r w:rsidRPr="0093770F">
        <w:rPr>
          <w:rFonts w:cstheme="minorHAnsi"/>
        </w:rPr>
        <w:t xml:space="preserve"> ASIC is also responsible for granting market infrastructure licences. </w:t>
      </w:r>
      <w:r w:rsidR="00A02457" w:rsidRPr="0093770F">
        <w:rPr>
          <w:rFonts w:cstheme="minorHAnsi"/>
        </w:rPr>
        <w:t>Licences are granted to applicants that meet the legislative criteria (or are approved by the Minister or their delegate). ASIC</w:t>
      </w:r>
      <w:r w:rsidR="00EF40B0">
        <w:rPr>
          <w:rFonts w:cstheme="minorHAnsi"/>
        </w:rPr>
        <w:t>’</w:t>
      </w:r>
      <w:r w:rsidR="00A02457" w:rsidRPr="0093770F">
        <w:rPr>
          <w:rFonts w:cstheme="minorHAnsi"/>
        </w:rPr>
        <w:t>s licensing function is split across 2 teams</w:t>
      </w:r>
      <w:r w:rsidRPr="0093770F">
        <w:rPr>
          <w:rFonts w:cstheme="minorHAnsi"/>
        </w:rPr>
        <w:t xml:space="preserve">: </w:t>
      </w:r>
    </w:p>
    <w:p w14:paraId="34DDE5D4" w14:textId="0F522064" w:rsidR="00A02457" w:rsidRDefault="70860CCA" w:rsidP="00923A66">
      <w:pPr>
        <w:pStyle w:val="Bullet"/>
      </w:pPr>
      <w:r>
        <w:t>Financial Services and Wealth Group</w:t>
      </w:r>
      <w:r w:rsidR="00EF40B0">
        <w:t>’</w:t>
      </w:r>
      <w:r>
        <w:t xml:space="preserve">s licensing team (licensing team), which licenses financial services, credit and auditor </w:t>
      </w:r>
      <w:r w:rsidRPr="00923A66">
        <w:t>registrations</w:t>
      </w:r>
    </w:p>
    <w:p w14:paraId="3FC6CE0F" w14:textId="1F896E71" w:rsidR="00931B94" w:rsidRDefault="00A02457" w:rsidP="00923A66">
      <w:pPr>
        <w:pStyle w:val="Bullet"/>
      </w:pPr>
      <w:r>
        <w:t>Markets Group</w:t>
      </w:r>
      <w:r w:rsidR="00EF40B0">
        <w:t>’</w:t>
      </w:r>
      <w:r>
        <w:t>s market i</w:t>
      </w:r>
      <w:r w:rsidRPr="00484093">
        <w:t xml:space="preserve">nfrastructure </w:t>
      </w:r>
      <w:r w:rsidRPr="00923A66">
        <w:t>team</w:t>
      </w:r>
      <w:r>
        <w:t xml:space="preserve">, which </w:t>
      </w:r>
      <w:r w:rsidR="00351A55">
        <w:t>assesses</w:t>
      </w:r>
      <w:r>
        <w:t xml:space="preserve"> market infrastructure licences (for example, operating financial markets, clearing and settlement facilities). </w:t>
      </w:r>
    </w:p>
    <w:p w14:paraId="765E9A9F" w14:textId="77777777" w:rsidR="00931B94" w:rsidRDefault="00931B94">
      <w:pPr>
        <w:spacing w:before="0" w:after="160" w:line="259" w:lineRule="auto"/>
      </w:pPr>
      <w:r>
        <w:br w:type="page"/>
      </w:r>
    </w:p>
    <w:p w14:paraId="48DBD956" w14:textId="4FA5A365" w:rsidR="00A02457" w:rsidRPr="003445BD" w:rsidRDefault="00A6032A" w:rsidP="00975036">
      <w:pPr>
        <w:pStyle w:val="numberedtext"/>
        <w:numPr>
          <w:ilvl w:val="0"/>
          <w:numId w:val="24"/>
        </w:numPr>
        <w:rPr>
          <w:rFonts w:cstheme="minorHAnsi"/>
        </w:rPr>
      </w:pPr>
      <w:r w:rsidRPr="00BB0B19">
        <w:lastRenderedPageBreak/>
        <w:t>Figure 5.1</w:t>
      </w:r>
      <w:r w:rsidR="003A3433">
        <w:rPr>
          <w:rFonts w:cstheme="minorHAnsi"/>
        </w:rPr>
        <w:t xml:space="preserve"> </w:t>
      </w:r>
      <w:r w:rsidR="00A02457" w:rsidRPr="003445BD">
        <w:rPr>
          <w:rFonts w:cstheme="minorHAnsi"/>
        </w:rPr>
        <w:t xml:space="preserve">sets out the number of applications received by both the licensing team and the market infrastructure team over the last 3 years. </w:t>
      </w:r>
    </w:p>
    <w:p w14:paraId="352D8173" w14:textId="4974E3C4" w:rsidR="00A02457" w:rsidRDefault="007D4979" w:rsidP="001655A9">
      <w:pPr>
        <w:pStyle w:val="FigureMainHeading"/>
      </w:pPr>
      <w:bookmarkStart w:id="118" w:name="Figure_5_1"/>
      <w:r w:rsidRPr="00BB0B19">
        <w:t>Figure 5.1</w:t>
      </w:r>
      <w:bookmarkEnd w:id="118"/>
      <w:r w:rsidRPr="00BB0B19">
        <w:t xml:space="preserve">: Applications received over the past 3 years for </w:t>
      </w:r>
      <w:r w:rsidR="00E72F5F">
        <w:t>AFS</w:t>
      </w:r>
      <w:r w:rsidR="001F3FD4">
        <w:t>L</w:t>
      </w:r>
      <w:r w:rsidRPr="00BB0B19">
        <w:t xml:space="preserve"> and </w:t>
      </w:r>
      <w:r w:rsidR="00C35F52">
        <w:t>credit</w:t>
      </w:r>
      <w:r w:rsidRPr="00BB0B19">
        <w:t xml:space="preserve"> licences (new and variation) and professional registrations and </w:t>
      </w:r>
      <w:r w:rsidR="00C35F52">
        <w:t>m</w:t>
      </w:r>
      <w:r w:rsidRPr="00BB0B19">
        <w:t xml:space="preserve">arket </w:t>
      </w:r>
      <w:r w:rsidR="00C35F52">
        <w:t>infrastructure</w:t>
      </w:r>
      <w:r w:rsidRPr="00BB0B19">
        <w:t xml:space="preserve"> licences (new)</w:t>
      </w:r>
    </w:p>
    <w:p w14:paraId="395A80DB" w14:textId="1B22E1DC" w:rsidR="007D4979" w:rsidRPr="007D4979" w:rsidRDefault="007D4979" w:rsidP="007D4979">
      <w:pPr>
        <w:pStyle w:val="ChartGraphic"/>
      </w:pPr>
      <w:r>
        <w:rPr>
          <w:noProof/>
        </w:rPr>
        <w:drawing>
          <wp:inline distT="0" distB="0" distL="0" distR="0" wp14:anchorId="243F8493" wp14:editId="5465830F">
            <wp:extent cx="5416727" cy="3539502"/>
            <wp:effectExtent l="0" t="0" r="0" b="3810"/>
            <wp:docPr id="36" name="Picture 36" descr="Figure 5.1 contains 2 separate vertical bar graphs, side by side. The graph on the left displays the number of licence/registration applications received by the Financial Services and Wealth Group: licensing team for the periods 2018-19, 2019-20 and 2020-21. The graph on the right displays the number of licence applications received by the Markets Group: market infrastructure team for the same time period. There are 2 graphs as the application numbers are significantly different. That is, the Financial Services and Wealth Group licence application number axis range is from 0 to 1500. The Markets Group licence application number axis range is from 0 to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5.1 contains 2 separate vertical bar graphs, side by side. The graph on the left displays the number of licence/registration applications received by the Financial Services and Wealth Group: licensing team for the periods 2018-19, 2019-20 and 2020-21. The graph on the right displays the number of licence applications received by the Markets Group: market infrastructure team for the same time period. There are 2 graphs as the application numbers are significantly different. That is, the Financial Services and Wealth Group licence application number axis range is from 0 to 1500. The Markets Group licence application number axis range is from 0 to 3. "/>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416727" cy="3539502"/>
                    </a:xfrm>
                    <a:prstGeom prst="rect">
                      <a:avLst/>
                    </a:prstGeom>
                    <a:noFill/>
                    <a:ln>
                      <a:noFill/>
                    </a:ln>
                  </pic:spPr>
                </pic:pic>
              </a:graphicData>
            </a:graphic>
          </wp:inline>
        </w:drawing>
      </w:r>
    </w:p>
    <w:p w14:paraId="2A10A55B" w14:textId="02B4EDD1" w:rsidR="007D4979" w:rsidRDefault="007D4979" w:rsidP="007D4979">
      <w:pPr>
        <w:pStyle w:val="Source"/>
      </w:pPr>
      <w:r w:rsidRPr="00BF22D2">
        <w:t xml:space="preserve">Source: ASIC, </w:t>
      </w:r>
      <w:r w:rsidRPr="00950351">
        <w:t>Material supplied to th</w:t>
      </w:r>
      <w:r w:rsidR="00E569D2" w:rsidRPr="00950351">
        <w:t>is</w:t>
      </w:r>
      <w:r w:rsidRPr="00950351">
        <w:t xml:space="preserve"> </w:t>
      </w:r>
      <w:r w:rsidR="00FF1551" w:rsidRPr="00950351">
        <w:t>r</w:t>
      </w:r>
      <w:r w:rsidRPr="00950351">
        <w:t>eview</w:t>
      </w:r>
      <w:r w:rsidR="00E569D2" w:rsidRPr="00052BB5">
        <w:t>,</w:t>
      </w:r>
      <w:r w:rsidR="00E569D2">
        <w:t xml:space="preserve"> 2022</w:t>
      </w:r>
      <w:r w:rsidR="00742FD9">
        <w:t>.</w:t>
      </w:r>
    </w:p>
    <w:p w14:paraId="3271250E" w14:textId="092AB30F" w:rsidR="00931B94" w:rsidRDefault="00A02457" w:rsidP="00975036">
      <w:pPr>
        <w:pStyle w:val="numberedtext"/>
        <w:numPr>
          <w:ilvl w:val="0"/>
          <w:numId w:val="24"/>
        </w:numPr>
        <w:rPr>
          <w:rFonts w:cstheme="minorHAnsi"/>
        </w:rPr>
      </w:pPr>
      <w:r w:rsidRPr="003445BD">
        <w:rPr>
          <w:rFonts w:cstheme="minorHAnsi"/>
        </w:rPr>
        <w:t>As the majority of ASIC</w:t>
      </w:r>
      <w:r w:rsidR="00EF40B0">
        <w:rPr>
          <w:rFonts w:cstheme="minorHAnsi"/>
        </w:rPr>
        <w:t>’</w:t>
      </w:r>
      <w:r w:rsidRPr="003445BD">
        <w:rPr>
          <w:rFonts w:cstheme="minorHAnsi"/>
        </w:rPr>
        <w:t xml:space="preserve">s licences are </w:t>
      </w:r>
      <w:r w:rsidR="00D73272">
        <w:rPr>
          <w:rFonts w:cstheme="minorHAnsi"/>
        </w:rPr>
        <w:t>Australian financial service</w:t>
      </w:r>
      <w:r w:rsidRPr="003445BD">
        <w:rPr>
          <w:rFonts w:cstheme="minorHAnsi"/>
        </w:rPr>
        <w:t xml:space="preserve"> and </w:t>
      </w:r>
      <w:r w:rsidR="000649E8">
        <w:rPr>
          <w:rFonts w:cstheme="minorHAnsi"/>
        </w:rPr>
        <w:t>credit</w:t>
      </w:r>
      <w:r w:rsidRPr="003445BD">
        <w:rPr>
          <w:rFonts w:cstheme="minorHAnsi"/>
        </w:rPr>
        <w:t xml:space="preserve"> licences, they are the focus of this </w:t>
      </w:r>
      <w:r w:rsidR="00FF1551">
        <w:rPr>
          <w:rFonts w:cstheme="minorHAnsi"/>
        </w:rPr>
        <w:t>r</w:t>
      </w:r>
      <w:r w:rsidRPr="003445BD">
        <w:rPr>
          <w:rFonts w:cstheme="minorHAnsi"/>
        </w:rPr>
        <w:t>eview. There are 2 key legislative features of this licensing regime. First, once an application has been lodged that meets the legislative requirements, ASIC must grant a licence or registration unless it can substantiate grounds not to. This differs from some jurisdictions where regulators have more discretion when deciding to approve or deny licence applications.</w:t>
      </w:r>
      <w:r w:rsidR="000649E8">
        <w:rPr>
          <w:rStyle w:val="FootnoteReference"/>
          <w:rFonts w:cstheme="minorHAnsi"/>
        </w:rPr>
        <w:footnoteReference w:id="127"/>
      </w:r>
      <w:r w:rsidRPr="003445BD">
        <w:rPr>
          <w:rFonts w:cstheme="minorHAnsi"/>
        </w:rPr>
        <w:t xml:space="preserve"> Second, ASIC</w:t>
      </w:r>
      <w:r w:rsidR="00EF40B0">
        <w:rPr>
          <w:rFonts w:cstheme="minorHAnsi"/>
        </w:rPr>
        <w:t>’</w:t>
      </w:r>
      <w:r w:rsidRPr="003445BD">
        <w:rPr>
          <w:rFonts w:cstheme="minorHAnsi"/>
        </w:rPr>
        <w:t>s licences and registrations are point</w:t>
      </w:r>
      <w:r w:rsidR="00EF40B0">
        <w:rPr>
          <w:rFonts w:cstheme="minorHAnsi"/>
        </w:rPr>
        <w:noBreakHyphen/>
      </w:r>
      <w:r w:rsidRPr="003445BD">
        <w:rPr>
          <w:rFonts w:cstheme="minorHAnsi"/>
        </w:rPr>
        <w:t>in</w:t>
      </w:r>
      <w:r w:rsidR="00EF40B0">
        <w:rPr>
          <w:rFonts w:cstheme="minorHAnsi"/>
        </w:rPr>
        <w:noBreakHyphen/>
      </w:r>
      <w:r w:rsidRPr="003445BD">
        <w:rPr>
          <w:rFonts w:cstheme="minorHAnsi"/>
        </w:rPr>
        <w:t>time assessments. Once a licence is granted, except in limited circumstances, the licensee is not required to undergo periodic reassessment and indeed, the licence may be transferred to a third party at any time</w:t>
      </w:r>
      <w:r w:rsidR="00C606AD">
        <w:rPr>
          <w:rFonts w:cstheme="minorHAnsi"/>
        </w:rPr>
        <w:t xml:space="preserve">. </w:t>
      </w:r>
    </w:p>
    <w:p w14:paraId="4623F248" w14:textId="77777777" w:rsidR="00931B94" w:rsidRDefault="00931B94">
      <w:pPr>
        <w:spacing w:before="0" w:after="160" w:line="259" w:lineRule="auto"/>
        <w:rPr>
          <w:rFonts w:asciiTheme="minorHAnsi" w:eastAsiaTheme="minorHAnsi" w:hAnsiTheme="minorHAnsi" w:cstheme="minorHAnsi"/>
          <w:szCs w:val="22"/>
          <w:lang w:eastAsia="en-US"/>
        </w:rPr>
      </w:pPr>
      <w:r>
        <w:rPr>
          <w:rFonts w:cstheme="minorHAnsi"/>
        </w:rPr>
        <w:br w:type="page"/>
      </w:r>
    </w:p>
    <w:p w14:paraId="39A76427" w14:textId="77777777" w:rsidR="00A02457" w:rsidRPr="001C17C6" w:rsidRDefault="00A02457" w:rsidP="001C17C6">
      <w:pPr>
        <w:pStyle w:val="Heading3"/>
      </w:pPr>
      <w:bookmarkStart w:id="119" w:name="_Toc108786455"/>
      <w:r w:rsidRPr="001C17C6">
        <w:lastRenderedPageBreak/>
        <w:t>Organisational changes</w:t>
      </w:r>
      <w:bookmarkEnd w:id="119"/>
      <w:r w:rsidRPr="001C17C6">
        <w:t xml:space="preserve"> </w:t>
      </w:r>
    </w:p>
    <w:p w14:paraId="65B9EC61" w14:textId="27C222CC" w:rsidR="00A02457" w:rsidRPr="00281D0F" w:rsidRDefault="00A02457" w:rsidP="00975036">
      <w:pPr>
        <w:pStyle w:val="numberedtext"/>
        <w:numPr>
          <w:ilvl w:val="0"/>
          <w:numId w:val="24"/>
        </w:numPr>
        <w:tabs>
          <w:tab w:val="clear" w:pos="601"/>
        </w:tabs>
      </w:pPr>
      <w:r>
        <w:t>ASIC has impleme</w:t>
      </w:r>
      <w:r w:rsidRPr="00A46DA9">
        <w:t xml:space="preserve">nted organisational changes to </w:t>
      </w:r>
      <w:r>
        <w:t xml:space="preserve">its </w:t>
      </w:r>
      <w:r w:rsidRPr="00A46DA9">
        <w:t>licensing function</w:t>
      </w:r>
      <w:r>
        <w:t xml:space="preserve"> since 2014 (</w:t>
      </w:r>
      <w:r w:rsidR="00A6032A" w:rsidRPr="00BB0B19">
        <w:t>Figure 5.2</w:t>
      </w:r>
      <w:r>
        <w:t>).</w:t>
      </w:r>
      <w:r w:rsidRPr="00A46DA9">
        <w:t xml:space="preserve"> </w:t>
      </w:r>
      <w:r>
        <w:t>The most recent</w:t>
      </w:r>
      <w:r w:rsidRPr="00A46DA9">
        <w:t xml:space="preserve"> change has been to move the function into the Financial Services and Wealth group, alongside stakeholder teams that conduct surveillance activities</w:t>
      </w:r>
      <w:r w:rsidRPr="00A46DA9">
        <w:rPr>
          <w:rFonts w:eastAsiaTheme="minorEastAsia"/>
        </w:rPr>
        <w:t>.</w:t>
      </w:r>
      <w:r w:rsidRPr="00A46DA9">
        <w:rPr>
          <w:rStyle w:val="FootnoteReference"/>
          <w:rFonts w:eastAsiaTheme="minorEastAsia"/>
          <w:sz w:val="22"/>
        </w:rPr>
        <w:footnoteReference w:id="128"/>
      </w:r>
      <w:r w:rsidRPr="14A62BF5">
        <w:rPr>
          <w:rFonts w:eastAsiaTheme="minorEastAsia"/>
        </w:rPr>
        <w:t xml:space="preserve"> </w:t>
      </w:r>
      <w:r w:rsidRPr="00A46DA9">
        <w:t xml:space="preserve">ASIC reported </w:t>
      </w:r>
      <w:r>
        <w:t>that</w:t>
      </w:r>
      <w:r w:rsidRPr="00A46DA9">
        <w:t xml:space="preserve"> this change has enabled more flexible resource allocation and better information flow and cooperation between licensing and surveillance staff (refer</w:t>
      </w:r>
      <w:r w:rsidRPr="00A46DA9">
        <w:rPr>
          <w:rFonts w:eastAsiaTheme="minorEastAsia"/>
        </w:rPr>
        <w:t xml:space="preserve"> </w:t>
      </w:r>
      <w:r w:rsidR="007E06EE">
        <w:rPr>
          <w:rFonts w:eastAsiaTheme="minorEastAsia"/>
        </w:rPr>
        <w:t xml:space="preserve">paragraph </w:t>
      </w:r>
      <w:r w:rsidR="00A6032A">
        <w:rPr>
          <w:rFonts w:eastAsiaTheme="minorEastAsia"/>
        </w:rPr>
        <w:t>4.42</w:t>
      </w:r>
      <w:r w:rsidRPr="00A46DA9">
        <w:rPr>
          <w:rFonts w:eastAsiaTheme="minorEastAsia"/>
        </w:rPr>
        <w:t>).</w:t>
      </w:r>
    </w:p>
    <w:p w14:paraId="3EBF47D6" w14:textId="0D7F60C0" w:rsidR="00A02457" w:rsidRPr="00BB0B19" w:rsidRDefault="00A02457" w:rsidP="001655A9">
      <w:pPr>
        <w:pStyle w:val="FigureMainHeading"/>
      </w:pPr>
      <w:bookmarkStart w:id="120" w:name="Figure_5_2"/>
      <w:r w:rsidRPr="00BB0B19">
        <w:t>Figure 5.2</w:t>
      </w:r>
      <w:bookmarkEnd w:id="120"/>
      <w:r w:rsidRPr="00BB0B19">
        <w:t>: Timeline of the licensing function (2014–22)</w:t>
      </w:r>
    </w:p>
    <w:p w14:paraId="4B33C44B" w14:textId="77777777" w:rsidR="00A02457" w:rsidRDefault="00A02457" w:rsidP="007D4979">
      <w:pPr>
        <w:pStyle w:val="ChartGraphic"/>
        <w:ind w:left="227"/>
        <w:rPr>
          <w:sz w:val="22"/>
        </w:rPr>
      </w:pPr>
      <w:r>
        <w:rPr>
          <w:noProof/>
        </w:rPr>
        <w:drawing>
          <wp:inline distT="0" distB="0" distL="0" distR="0" wp14:anchorId="27378E04" wp14:editId="3B44D6AA">
            <wp:extent cx="5731019" cy="3533775"/>
            <wp:effectExtent l="0" t="0" r="3175" b="0"/>
            <wp:docPr id="6" name="Picture 6" descr="Figure 5.2 is a vertical timeline. There is a central line that has markers for each year that marked significant changes: 2014, 2015, 2017, 2019, 2020 and 2022. There is explanatory text for each year, which alternates being displayed to the right or the left of the centre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5.2 is a vertical timeline. There is a central line that has markers for each year that marked significant changes: 2014, 2015, 2017, 2019, 2020 and 2022. There is explanatory text for each year, which alternates being displayed to the right or the left of the centre line.  "/>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731019" cy="3533775"/>
                    </a:xfrm>
                    <a:prstGeom prst="rect">
                      <a:avLst/>
                    </a:prstGeom>
                    <a:noFill/>
                    <a:ln>
                      <a:noFill/>
                    </a:ln>
                  </pic:spPr>
                </pic:pic>
              </a:graphicData>
            </a:graphic>
          </wp:inline>
        </w:drawing>
      </w:r>
    </w:p>
    <w:p w14:paraId="1BFE4C23" w14:textId="6FC6DD55" w:rsidR="00931B94" w:rsidRDefault="00A02457" w:rsidP="007D4979">
      <w:pPr>
        <w:pStyle w:val="Source"/>
      </w:pPr>
      <w:r w:rsidRPr="003F3115">
        <w:t xml:space="preserve">Source: ASIC, </w:t>
      </w:r>
      <w:r w:rsidRPr="000A5F11">
        <w:t>Material supplied to th</w:t>
      </w:r>
      <w:r w:rsidR="00131CD2" w:rsidRPr="000A5F11">
        <w:t>is</w:t>
      </w:r>
      <w:r w:rsidRPr="000A5F11">
        <w:t xml:space="preserve"> </w:t>
      </w:r>
      <w:r w:rsidR="00FF1551" w:rsidRPr="000A5F11">
        <w:t>r</w:t>
      </w:r>
      <w:r w:rsidRPr="000A5F11">
        <w:t>eview</w:t>
      </w:r>
      <w:r w:rsidR="00131CD2" w:rsidRPr="00052BB5">
        <w:t>,</w:t>
      </w:r>
      <w:r w:rsidR="00131CD2">
        <w:t xml:space="preserve"> 2022.</w:t>
      </w:r>
    </w:p>
    <w:p w14:paraId="3B260B1A" w14:textId="77777777" w:rsidR="00931B94" w:rsidRDefault="00931B94">
      <w:pPr>
        <w:spacing w:before="0" w:after="160" w:line="259" w:lineRule="auto"/>
        <w:rPr>
          <w:rFonts w:asciiTheme="minorHAnsi" w:eastAsiaTheme="minorHAnsi" w:hAnsiTheme="minorHAnsi" w:cstheme="minorBidi"/>
          <w:sz w:val="18"/>
          <w:szCs w:val="18"/>
          <w:lang w:eastAsia="en-US"/>
        </w:rPr>
      </w:pPr>
      <w:r>
        <w:br w:type="page"/>
      </w:r>
    </w:p>
    <w:p w14:paraId="05BB9ADB" w14:textId="72A6FF31" w:rsidR="00181DCA" w:rsidRPr="001C17C6" w:rsidRDefault="00181DCA" w:rsidP="00181DCA">
      <w:pPr>
        <w:pStyle w:val="Heading2"/>
        <w:rPr>
          <w:rFonts w:eastAsiaTheme="minorHAnsi"/>
        </w:rPr>
      </w:pPr>
      <w:bookmarkStart w:id="121" w:name="_Toc110241835"/>
      <w:r w:rsidRPr="001C17C6">
        <w:rPr>
          <w:rFonts w:eastAsiaTheme="minorHAnsi"/>
        </w:rPr>
        <w:lastRenderedPageBreak/>
        <w:t>Effectiveness and capability of ASIC</w:t>
      </w:r>
      <w:r w:rsidR="00EF40B0">
        <w:rPr>
          <w:rFonts w:eastAsiaTheme="minorHAnsi"/>
        </w:rPr>
        <w:t>’</w:t>
      </w:r>
      <w:r w:rsidRPr="001C17C6">
        <w:rPr>
          <w:rFonts w:eastAsiaTheme="minorHAnsi"/>
        </w:rPr>
        <w:t>s licensing function</w:t>
      </w:r>
      <w:bookmarkEnd w:id="121"/>
    </w:p>
    <w:p w14:paraId="0930899F" w14:textId="3D06D97A" w:rsidR="00A02457" w:rsidRPr="003445BD" w:rsidRDefault="00A02457" w:rsidP="00975036">
      <w:pPr>
        <w:pStyle w:val="numberedtext"/>
        <w:numPr>
          <w:ilvl w:val="0"/>
          <w:numId w:val="24"/>
        </w:numPr>
        <w:rPr>
          <w:rFonts w:cstheme="minorHAnsi"/>
        </w:rPr>
      </w:pPr>
      <w:r w:rsidRPr="003445BD">
        <w:rPr>
          <w:rFonts w:cstheme="minorHAnsi"/>
        </w:rPr>
        <w:t xml:space="preserve">This section outlines the feedback received, most of which was provided by industry stakeholders and associations. Their feedback focused on the AFSL and </w:t>
      </w:r>
      <w:r w:rsidR="00131CD2">
        <w:rPr>
          <w:rFonts w:cstheme="minorHAnsi"/>
        </w:rPr>
        <w:t>credit</w:t>
      </w:r>
      <w:r w:rsidRPr="003445BD">
        <w:rPr>
          <w:rFonts w:cstheme="minorHAnsi"/>
        </w:rPr>
        <w:t xml:space="preserve"> licensing function, specifically relati</w:t>
      </w:r>
      <w:r w:rsidR="000F289E">
        <w:rPr>
          <w:rFonts w:cstheme="minorHAnsi"/>
        </w:rPr>
        <w:t>ng</w:t>
      </w:r>
      <w:r w:rsidRPr="003445BD">
        <w:rPr>
          <w:rFonts w:cstheme="minorHAnsi"/>
        </w:rPr>
        <w:t xml:space="preserve"> to lodging an application, timeliness of decisions, communication with the applicant, outcomes of licensing decisions</w:t>
      </w:r>
      <w:r w:rsidR="00510AD6">
        <w:rPr>
          <w:rFonts w:cstheme="minorHAnsi"/>
        </w:rPr>
        <w:t>,</w:t>
      </w:r>
      <w:r w:rsidRPr="003445BD">
        <w:rPr>
          <w:rFonts w:cstheme="minorHAnsi"/>
        </w:rPr>
        <w:t xml:space="preserve"> and accountability. Consumer advocacy bodies</w:t>
      </w:r>
      <w:r w:rsidR="00EF40B0">
        <w:rPr>
          <w:rFonts w:cstheme="minorHAnsi"/>
        </w:rPr>
        <w:t>’</w:t>
      </w:r>
      <w:r w:rsidRPr="003445BD" w:rsidDel="002C681E">
        <w:rPr>
          <w:rFonts w:cstheme="minorHAnsi"/>
        </w:rPr>
        <w:t xml:space="preserve"> </w:t>
      </w:r>
      <w:r w:rsidRPr="003445BD">
        <w:rPr>
          <w:rFonts w:cstheme="minorHAnsi"/>
        </w:rPr>
        <w:t>feedback on the licensing function was limited.</w:t>
      </w:r>
      <w:r w:rsidRPr="003445BD">
        <w:rPr>
          <w:rStyle w:val="FootnoteReference"/>
        </w:rPr>
        <w:footnoteReference w:id="129"/>
      </w:r>
      <w:r w:rsidRPr="003445BD">
        <w:rPr>
          <w:rFonts w:cstheme="minorHAnsi"/>
        </w:rPr>
        <w:t xml:space="preserve"> </w:t>
      </w:r>
      <w:r w:rsidR="00A6032A">
        <w:t>Figure 5.3</w:t>
      </w:r>
      <w:r w:rsidR="00840E20">
        <w:rPr>
          <w:rFonts w:cstheme="minorHAnsi"/>
        </w:rPr>
        <w:t xml:space="preserve"> </w:t>
      </w:r>
      <w:r w:rsidR="00B40AE2">
        <w:rPr>
          <w:rFonts w:cstheme="minorHAnsi"/>
        </w:rPr>
        <w:t>illustrates a</w:t>
      </w:r>
      <w:r w:rsidR="00A30CFA">
        <w:rPr>
          <w:rFonts w:cstheme="minorHAnsi"/>
        </w:rPr>
        <w:t>n outline of the licensing application process.</w:t>
      </w:r>
    </w:p>
    <w:p w14:paraId="56DD7E88" w14:textId="4E5F84BE" w:rsidR="00C6715A" w:rsidRPr="00C6715A" w:rsidRDefault="00C6715A" w:rsidP="001655A9">
      <w:pPr>
        <w:pStyle w:val="FigureMainHeading"/>
      </w:pPr>
      <w:bookmarkStart w:id="122" w:name="Figure_5_3"/>
      <w:r>
        <w:t>Figure 5.3</w:t>
      </w:r>
      <w:bookmarkEnd w:id="122"/>
      <w:r w:rsidR="00840E20">
        <w:t>:</w:t>
      </w:r>
      <w:r w:rsidR="00FB0C63">
        <w:t xml:space="preserve"> Licensing </w:t>
      </w:r>
      <w:r w:rsidR="00FB0C63" w:rsidRPr="003C6798">
        <w:rPr>
          <w:rStyle w:val="eop"/>
        </w:rPr>
        <w:t>application</w:t>
      </w:r>
      <w:r w:rsidR="00FB0C63">
        <w:t xml:space="preserve"> process</w:t>
      </w:r>
    </w:p>
    <w:p w14:paraId="261C45DF" w14:textId="461EA4EC" w:rsidR="00A02457" w:rsidRDefault="00931B94" w:rsidP="00526D0C">
      <w:pPr>
        <w:pStyle w:val="ChartGraphic"/>
      </w:pPr>
      <w:r>
        <w:rPr>
          <w:noProof/>
        </w:rPr>
        <w:drawing>
          <wp:inline distT="0" distB="0" distL="0" distR="0" wp14:anchorId="20A9D0AC" wp14:editId="00CE9137">
            <wp:extent cx="4968000" cy="4466039"/>
            <wp:effectExtent l="0" t="0" r="4445" b="0"/>
            <wp:docPr id="1" name="Picture 1" descr="Figure 5.3 displays a horizontal flow chart that runs left to right. Each step is contained in a vertical column of text. Box 1 is titled “Step 1: Lodge application”. Box 2 is titled “Step 2: Review application / Triage application”. Box 3 is titled “Step 3: Assess application”. Box 4 is titled “Step 4: Outcome”. Below box 1 and box 2 there is another box that loops box 2 back to box 1, to represent an alternative path if application does not progress along the flow chart. Above box 2 and box 3, there is another box that has 3 rows (red, orange and green) that represent the triage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5.3 displays a horizontal flow chart that runs left to right. Each step is contained in a vertical column of text. Box 1 is titled “Step 1: Lodge application”. Box 2 is titled “Step 2: Review application / Triage application”. Box 3 is titled “Step 3: Assess application”. Box 4 is titled “Step 4: Outcome”. Below box 1 and box 2 there is another box that loops box 2 back to box 1, to represent an alternative path if application does not progress along the flow chart. Above box 2 and box 3, there is another box that has 3 rows (red, orange and green) that represent the triage process.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68000" cy="4466039"/>
                    </a:xfrm>
                    <a:prstGeom prst="rect">
                      <a:avLst/>
                    </a:prstGeom>
                  </pic:spPr>
                </pic:pic>
              </a:graphicData>
            </a:graphic>
          </wp:inline>
        </w:drawing>
      </w:r>
    </w:p>
    <w:p w14:paraId="532655A2" w14:textId="76A111C5" w:rsidR="00186C3D" w:rsidRPr="00186C3D" w:rsidRDefault="00186C3D" w:rsidP="00186C3D">
      <w:pPr>
        <w:pStyle w:val="Source"/>
      </w:pPr>
      <w:r w:rsidRPr="00E6411A">
        <w:t xml:space="preserve">Source: </w:t>
      </w:r>
      <w:r w:rsidR="007931B0">
        <w:t>ASIC, Material supplied to this review</w:t>
      </w:r>
      <w:r>
        <w:t>, 2022.</w:t>
      </w:r>
    </w:p>
    <w:p w14:paraId="42166379" w14:textId="77777777" w:rsidR="00931B94" w:rsidRDefault="00931B94">
      <w:pPr>
        <w:spacing w:before="0" w:after="160" w:line="259" w:lineRule="auto"/>
        <w:rPr>
          <w:rFonts w:cs="Arial"/>
          <w:color w:val="127F6A"/>
          <w:kern w:val="32"/>
          <w:sz w:val="28"/>
          <w:szCs w:val="26"/>
        </w:rPr>
      </w:pPr>
      <w:bookmarkStart w:id="123" w:name="_Toc108786457"/>
      <w:r>
        <w:br w:type="page"/>
      </w:r>
    </w:p>
    <w:p w14:paraId="25B13CD4" w14:textId="7D8DC047" w:rsidR="00A02457" w:rsidRPr="001C17C6" w:rsidRDefault="00A02457" w:rsidP="001C17C6">
      <w:pPr>
        <w:pStyle w:val="Heading3"/>
      </w:pPr>
      <w:r w:rsidRPr="001C17C6">
        <w:lastRenderedPageBreak/>
        <w:t>Lodging an application</w:t>
      </w:r>
      <w:bookmarkEnd w:id="123"/>
      <w:r w:rsidRPr="001C17C6">
        <w:t xml:space="preserve"> </w:t>
      </w:r>
    </w:p>
    <w:p w14:paraId="1B774911" w14:textId="0034E3BB" w:rsidR="00A02457" w:rsidRPr="001C17C6" w:rsidRDefault="00A02457" w:rsidP="001C17C6">
      <w:pPr>
        <w:pStyle w:val="Heading4"/>
      </w:pPr>
      <w:r w:rsidRPr="001C17C6">
        <w:t>Guidance materials</w:t>
      </w:r>
    </w:p>
    <w:p w14:paraId="4A3ABF8E" w14:textId="1307AF55" w:rsidR="00A02457" w:rsidRPr="003445BD" w:rsidRDefault="00A02457" w:rsidP="00975036">
      <w:pPr>
        <w:pStyle w:val="numberedtext"/>
        <w:numPr>
          <w:ilvl w:val="0"/>
          <w:numId w:val="24"/>
        </w:numPr>
        <w:rPr>
          <w:rFonts w:cstheme="minorHAnsi"/>
        </w:rPr>
      </w:pPr>
      <w:r w:rsidRPr="003445BD">
        <w:rPr>
          <w:rFonts w:cstheme="minorHAnsi"/>
        </w:rPr>
        <w:t>An applicant</w:t>
      </w:r>
      <w:r w:rsidR="00EF40B0">
        <w:rPr>
          <w:rFonts w:cstheme="minorHAnsi"/>
        </w:rPr>
        <w:t>’</w:t>
      </w:r>
      <w:r w:rsidRPr="003445BD">
        <w:rPr>
          <w:rFonts w:cstheme="minorHAnsi"/>
        </w:rPr>
        <w:t xml:space="preserve">s first interaction with ASIC may be through the guidance materials on the licensing process ASIC publishes on its website. ASIC publishes extensive guidance materials to </w:t>
      </w:r>
      <w:r w:rsidRPr="003445BD" w:rsidDel="0015696E">
        <w:rPr>
          <w:rFonts w:cstheme="minorHAnsi"/>
        </w:rPr>
        <w:t>promote fairness</w:t>
      </w:r>
      <w:r w:rsidRPr="003445BD">
        <w:rPr>
          <w:rFonts w:cstheme="minorHAnsi"/>
        </w:rPr>
        <w:t xml:space="preserve"> and transparency</w:t>
      </w:r>
      <w:r w:rsidRPr="003445BD" w:rsidDel="0015696E">
        <w:rPr>
          <w:rFonts w:cstheme="minorHAnsi"/>
        </w:rPr>
        <w:t>.</w:t>
      </w:r>
      <w:r w:rsidRPr="003445BD">
        <w:rPr>
          <w:rStyle w:val="FootnoteReference"/>
        </w:rPr>
        <w:footnoteReference w:id="130"/>
      </w:r>
      <w:r w:rsidRPr="003445BD">
        <w:rPr>
          <w:rStyle w:val="FootnoteReference"/>
        </w:rPr>
        <w:t xml:space="preserve"> </w:t>
      </w:r>
    </w:p>
    <w:p w14:paraId="4AD39522" w14:textId="53CB12AD" w:rsidR="00A02457" w:rsidRPr="003445BD" w:rsidRDefault="00A02457" w:rsidP="00975036">
      <w:pPr>
        <w:pStyle w:val="numberedtext"/>
        <w:numPr>
          <w:ilvl w:val="0"/>
          <w:numId w:val="24"/>
        </w:numPr>
        <w:rPr>
          <w:rFonts w:cstheme="minorHAnsi"/>
        </w:rPr>
      </w:pPr>
      <w:r w:rsidRPr="003445BD">
        <w:rPr>
          <w:rFonts w:cstheme="minorHAnsi"/>
        </w:rPr>
        <w:t>Stakeholder views on the quality of these materials was neutral with some areas for improvement noted.</w:t>
      </w:r>
      <w:r w:rsidRPr="003445BD">
        <w:rPr>
          <w:rStyle w:val="FootnoteReference"/>
        </w:rPr>
        <w:footnoteReference w:id="131"/>
      </w:r>
      <w:r w:rsidRPr="003445BD">
        <w:rPr>
          <w:rFonts w:cstheme="minorHAnsi"/>
        </w:rPr>
        <w:t xml:space="preserve"> Forty</w:t>
      </w:r>
      <w:r w:rsidR="00EF40B0">
        <w:rPr>
          <w:rFonts w:cstheme="minorHAnsi"/>
        </w:rPr>
        <w:noBreakHyphen/>
      </w:r>
      <w:r w:rsidRPr="003445BD">
        <w:rPr>
          <w:rFonts w:cstheme="minorHAnsi"/>
        </w:rPr>
        <w:t>two per cent of respondents to the stakeholder survey agreed that ASIC</w:t>
      </w:r>
      <w:r w:rsidR="00EF40B0">
        <w:rPr>
          <w:rFonts w:cstheme="minorHAnsi"/>
        </w:rPr>
        <w:t>’</w:t>
      </w:r>
      <w:r w:rsidRPr="003445BD">
        <w:rPr>
          <w:rFonts w:cstheme="minorHAnsi"/>
        </w:rPr>
        <w:t>s published guidance was clear.</w:t>
      </w:r>
      <w:r w:rsidRPr="003445BD">
        <w:rPr>
          <w:rStyle w:val="FootnoteReference"/>
        </w:rPr>
        <w:footnoteReference w:id="132"/>
      </w:r>
      <w:r w:rsidRPr="003445BD">
        <w:rPr>
          <w:rStyle w:val="FootnoteReference"/>
        </w:rPr>
        <w:t xml:space="preserve"> </w:t>
      </w:r>
      <w:r w:rsidR="00B02E9E">
        <w:t xml:space="preserve"> </w:t>
      </w:r>
      <w:r w:rsidRPr="003445BD">
        <w:rPr>
          <w:rFonts w:cstheme="minorHAnsi"/>
        </w:rPr>
        <w:t>Targeted industry stakeholders noted there was a lot of information available and that it was updated regularly. Others commented that it could be difficult for the lay person to find all of the information available since it is published in both regulatory guides and information sheets.</w:t>
      </w:r>
      <w:r w:rsidRPr="003445BD">
        <w:rPr>
          <w:rStyle w:val="FootnoteReference"/>
        </w:rPr>
        <w:footnoteReference w:id="133"/>
      </w:r>
      <w:r w:rsidRPr="003445BD">
        <w:rPr>
          <w:rFonts w:cstheme="minorHAnsi"/>
        </w:rPr>
        <w:t xml:space="preserve"> A consumer advocacy body commented that there was a need for clearer licensing regulatory guides, since they are currently long</w:t>
      </w:r>
      <w:r w:rsidR="006520C1">
        <w:rPr>
          <w:rFonts w:cstheme="minorHAnsi"/>
        </w:rPr>
        <w:t>,</w:t>
      </w:r>
      <w:r w:rsidRPr="003445BD">
        <w:rPr>
          <w:rFonts w:cstheme="minorHAnsi"/>
        </w:rPr>
        <w:t xml:space="preserve"> yet lack</w:t>
      </w:r>
      <w:r w:rsidR="006520C1">
        <w:rPr>
          <w:rFonts w:cstheme="minorHAnsi"/>
        </w:rPr>
        <w:t>ing</w:t>
      </w:r>
      <w:r w:rsidRPr="003445BD">
        <w:rPr>
          <w:rFonts w:cstheme="minorHAnsi"/>
        </w:rPr>
        <w:t xml:space="preserve"> </w:t>
      </w:r>
      <w:r w:rsidR="006520C1">
        <w:rPr>
          <w:rFonts w:cstheme="minorHAnsi"/>
        </w:rPr>
        <w:t>in</w:t>
      </w:r>
      <w:r w:rsidRPr="003445BD">
        <w:rPr>
          <w:rFonts w:cstheme="minorHAnsi"/>
        </w:rPr>
        <w:t xml:space="preserve"> detail.</w:t>
      </w:r>
      <w:r w:rsidRPr="003445BD">
        <w:rPr>
          <w:rStyle w:val="FootnoteReference"/>
        </w:rPr>
        <w:footnoteReference w:id="134"/>
      </w:r>
    </w:p>
    <w:p w14:paraId="320D1E6E" w14:textId="2FA47645" w:rsidR="00A02457" w:rsidRPr="003445BD" w:rsidRDefault="00A02457" w:rsidP="00975036">
      <w:pPr>
        <w:pStyle w:val="numberedtext"/>
        <w:numPr>
          <w:ilvl w:val="0"/>
          <w:numId w:val="24"/>
        </w:numPr>
        <w:rPr>
          <w:rFonts w:cstheme="minorHAnsi"/>
        </w:rPr>
      </w:pPr>
      <w:r w:rsidRPr="003445BD">
        <w:rPr>
          <w:rFonts w:cstheme="minorHAnsi"/>
        </w:rPr>
        <w:t xml:space="preserve">ASIC has acknowledged that the guidance materials can be difficult to follow given the volume and complexity of some requirements. ASIC plans to integrate guidance materials into the application process through the upgraded licensing portal (refer </w:t>
      </w:r>
      <w:r w:rsidR="006520C1">
        <w:rPr>
          <w:rFonts w:cstheme="minorHAnsi"/>
        </w:rPr>
        <w:t xml:space="preserve">paragraph </w:t>
      </w:r>
      <w:r w:rsidR="00A6032A">
        <w:rPr>
          <w:rFonts w:cstheme="minorHAnsi"/>
        </w:rPr>
        <w:t>5.15</w:t>
      </w:r>
      <w:r w:rsidRPr="003445BD">
        <w:rPr>
          <w:rFonts w:cstheme="minorHAnsi"/>
        </w:rPr>
        <w:t xml:space="preserve">), which will improve the usability and accessibility of the information. </w:t>
      </w:r>
    </w:p>
    <w:p w14:paraId="51ECD3EA" w14:textId="77777777" w:rsidR="00A02457" w:rsidRPr="001C17C6" w:rsidRDefault="00A02457" w:rsidP="001C17C6">
      <w:pPr>
        <w:pStyle w:val="Heading4"/>
      </w:pPr>
      <w:r w:rsidRPr="001C17C6">
        <w:t xml:space="preserve">Licensing portal experience </w:t>
      </w:r>
    </w:p>
    <w:p w14:paraId="058A9AEB" w14:textId="111490C1" w:rsidR="00A02457" w:rsidRPr="003445BD" w:rsidRDefault="00A02457" w:rsidP="00975036">
      <w:pPr>
        <w:pStyle w:val="numberedtext"/>
        <w:numPr>
          <w:ilvl w:val="0"/>
          <w:numId w:val="24"/>
        </w:numPr>
        <w:rPr>
          <w:rFonts w:cstheme="minorHAnsi"/>
        </w:rPr>
      </w:pPr>
      <w:r w:rsidRPr="003445BD">
        <w:rPr>
          <w:rFonts w:cstheme="minorHAnsi"/>
        </w:rPr>
        <w:t>Applicants complete and lodge their licensing application via ASIC</w:t>
      </w:r>
      <w:r w:rsidR="00EF40B0">
        <w:rPr>
          <w:rFonts w:cstheme="minorHAnsi"/>
        </w:rPr>
        <w:t>’</w:t>
      </w:r>
      <w:r w:rsidRPr="003445BD">
        <w:rPr>
          <w:rFonts w:cstheme="minorHAnsi"/>
        </w:rPr>
        <w:t xml:space="preserve">s licensing portal. The portal is </w:t>
      </w:r>
      <w:r w:rsidR="00D36BFB">
        <w:rPr>
          <w:rFonts w:cstheme="minorHAnsi"/>
        </w:rPr>
        <w:t>old</w:t>
      </w:r>
      <w:r w:rsidRPr="003445BD">
        <w:rPr>
          <w:rFonts w:cstheme="minorHAnsi"/>
        </w:rPr>
        <w:t xml:space="preserve"> and industry stakeholders highlighted the inability to upload documents to the portal and the cumbersome process to update licensee details.</w:t>
      </w:r>
      <w:r w:rsidRPr="003445BD">
        <w:rPr>
          <w:rStyle w:val="FootnoteReference"/>
        </w:rPr>
        <w:footnoteReference w:id="135"/>
      </w:r>
      <w:r w:rsidRPr="003445BD">
        <w:rPr>
          <w:rFonts w:cstheme="minorHAnsi"/>
        </w:rPr>
        <w:t xml:space="preserve"> In targeted interviews, industry commented that the portal was old and not intuitive, with one noting that the portal hasn</w:t>
      </w:r>
      <w:r w:rsidR="00EF40B0">
        <w:rPr>
          <w:rFonts w:cstheme="minorHAnsi"/>
        </w:rPr>
        <w:t>’</w:t>
      </w:r>
      <w:r w:rsidRPr="003445BD">
        <w:rPr>
          <w:rFonts w:cstheme="minorHAnsi"/>
        </w:rPr>
        <w:t>t changed since 2008.</w:t>
      </w:r>
      <w:r w:rsidRPr="003445BD">
        <w:rPr>
          <w:rStyle w:val="FootnoteReference"/>
        </w:rPr>
        <w:footnoteReference w:id="136"/>
      </w:r>
      <w:r w:rsidRPr="003445BD">
        <w:rPr>
          <w:rStyle w:val="FootnoteReference"/>
        </w:rPr>
        <w:t xml:space="preserve"> </w:t>
      </w:r>
      <w:r w:rsidRPr="003445BD">
        <w:rPr>
          <w:rFonts w:cstheme="minorHAnsi"/>
        </w:rPr>
        <w:t xml:space="preserve">Stakeholders noted that once an application has been lodged, the licensing portal does not update on the progress of applications. Applicants must seek to obtain updates directly from the licensing team, which the team is not always resourced to respond to (refer </w:t>
      </w:r>
      <w:r w:rsidR="0078718B">
        <w:rPr>
          <w:rFonts w:cstheme="minorHAnsi"/>
        </w:rPr>
        <w:t xml:space="preserve">paragraph </w:t>
      </w:r>
      <w:r w:rsidR="00A6032A">
        <w:rPr>
          <w:rFonts w:cstheme="minorHAnsi"/>
        </w:rPr>
        <w:t>5.40</w:t>
      </w:r>
      <w:r w:rsidRPr="003445BD">
        <w:rPr>
          <w:rFonts w:cstheme="minorHAnsi"/>
        </w:rPr>
        <w:t>).</w:t>
      </w:r>
      <w:r w:rsidRPr="003445BD">
        <w:rPr>
          <w:rStyle w:val="FootnoteReference"/>
        </w:rPr>
        <w:footnoteReference w:id="137"/>
      </w:r>
    </w:p>
    <w:p w14:paraId="3165D3DB" w14:textId="74218E3F" w:rsidR="00A02457" w:rsidRPr="003445BD" w:rsidRDefault="00A02457" w:rsidP="00975036">
      <w:pPr>
        <w:pStyle w:val="numberedtext"/>
        <w:numPr>
          <w:ilvl w:val="0"/>
          <w:numId w:val="24"/>
        </w:numPr>
        <w:rPr>
          <w:rFonts w:cstheme="minorHAnsi"/>
        </w:rPr>
      </w:pPr>
      <w:r w:rsidRPr="003445BD">
        <w:rPr>
          <w:rFonts w:cstheme="minorHAnsi"/>
        </w:rPr>
        <w:t xml:space="preserve">Feedback from ASIC echoed these views. The ASIC staff survey found that software and digital tools for licensing activities are perceived by many staff as </w:t>
      </w:r>
      <w:r w:rsidR="00EF40B0">
        <w:rPr>
          <w:rFonts w:cstheme="minorHAnsi"/>
        </w:rPr>
        <w:t>‘</w:t>
      </w:r>
      <w:r w:rsidRPr="003445BD">
        <w:rPr>
          <w:rFonts w:cstheme="minorHAnsi"/>
        </w:rPr>
        <w:t>ad hoc</w:t>
      </w:r>
      <w:r w:rsidR="00EF40B0">
        <w:rPr>
          <w:rFonts w:cstheme="minorHAnsi"/>
        </w:rPr>
        <w:t>’</w:t>
      </w:r>
      <w:r w:rsidRPr="003445BD">
        <w:rPr>
          <w:rFonts w:cstheme="minorHAnsi"/>
        </w:rPr>
        <w:t xml:space="preserve"> and </w:t>
      </w:r>
      <w:r w:rsidR="00EF40B0">
        <w:rPr>
          <w:rFonts w:cstheme="minorHAnsi"/>
        </w:rPr>
        <w:t>‘</w:t>
      </w:r>
      <w:r w:rsidRPr="003445BD">
        <w:rPr>
          <w:rFonts w:cstheme="minorHAnsi"/>
        </w:rPr>
        <w:t>basic</w:t>
      </w:r>
      <w:r w:rsidR="00EF40B0">
        <w:rPr>
          <w:rFonts w:cstheme="minorHAnsi"/>
        </w:rPr>
        <w:t>’</w:t>
      </w:r>
      <w:r w:rsidRPr="003445BD">
        <w:rPr>
          <w:rFonts w:cstheme="minorHAnsi"/>
        </w:rPr>
        <w:t>.</w:t>
      </w:r>
      <w:r w:rsidRPr="008E1146">
        <w:rPr>
          <w:rStyle w:val="FootnoteReference"/>
        </w:rPr>
        <w:footnoteReference w:id="138"/>
      </w:r>
      <w:r w:rsidRPr="008E1146">
        <w:rPr>
          <w:rStyle w:val="FootnoteReference"/>
        </w:rPr>
        <w:t xml:space="preserve"> </w:t>
      </w:r>
      <w:r w:rsidRPr="003445BD">
        <w:rPr>
          <w:rFonts w:cstheme="minorHAnsi"/>
        </w:rPr>
        <w:t>In a focus group with senior ASIC licensing staff</w:t>
      </w:r>
      <w:r w:rsidR="0078718B">
        <w:rPr>
          <w:rFonts w:cstheme="minorHAnsi"/>
        </w:rPr>
        <w:t xml:space="preserve"> members</w:t>
      </w:r>
      <w:r w:rsidRPr="003445BD">
        <w:rPr>
          <w:rFonts w:cstheme="minorHAnsi"/>
        </w:rPr>
        <w:t>, it was suggested that a more automated portal presented a clear opportunity to reduce manual processing and address current gaps in the licensing workflow process. ASIC</w:t>
      </w:r>
      <w:r w:rsidR="00EF40B0">
        <w:rPr>
          <w:rFonts w:cstheme="minorHAnsi"/>
        </w:rPr>
        <w:t>’</w:t>
      </w:r>
      <w:r w:rsidRPr="003445BD">
        <w:rPr>
          <w:rFonts w:cstheme="minorHAnsi"/>
        </w:rPr>
        <w:t>s self</w:t>
      </w:r>
      <w:r w:rsidR="00EF40B0">
        <w:rPr>
          <w:rFonts w:cstheme="minorHAnsi"/>
        </w:rPr>
        <w:noBreakHyphen/>
      </w:r>
      <w:r w:rsidRPr="003445BD">
        <w:rPr>
          <w:rFonts w:cstheme="minorHAnsi"/>
        </w:rPr>
        <w:t>assessment highlighted that investment in licensing technology and data use held considerable potential to improve the timeliness and efficiency of ASIC</w:t>
      </w:r>
      <w:r w:rsidR="00EF40B0">
        <w:rPr>
          <w:rFonts w:cstheme="minorHAnsi"/>
        </w:rPr>
        <w:t>’</w:t>
      </w:r>
      <w:r w:rsidRPr="003445BD">
        <w:rPr>
          <w:rFonts w:cstheme="minorHAnsi"/>
        </w:rPr>
        <w:t>s licensing processes.</w:t>
      </w:r>
      <w:r w:rsidRPr="003445BD">
        <w:rPr>
          <w:rStyle w:val="FootnoteReference"/>
        </w:rPr>
        <w:footnoteReference w:id="139"/>
      </w:r>
      <w:r w:rsidRPr="003445BD">
        <w:rPr>
          <w:rStyle w:val="FootnoteReference"/>
        </w:rPr>
        <w:t xml:space="preserve"> </w:t>
      </w:r>
    </w:p>
    <w:p w14:paraId="2A7D5206" w14:textId="2A856DA0" w:rsidR="00A02457" w:rsidRPr="003445BD" w:rsidRDefault="00A02457" w:rsidP="00975036">
      <w:pPr>
        <w:pStyle w:val="numberedtext"/>
        <w:numPr>
          <w:ilvl w:val="0"/>
          <w:numId w:val="24"/>
        </w:numPr>
        <w:rPr>
          <w:rFonts w:cstheme="minorHAnsi"/>
        </w:rPr>
      </w:pPr>
      <w:r w:rsidRPr="003445BD">
        <w:rPr>
          <w:rFonts w:cstheme="minorHAnsi"/>
        </w:rPr>
        <w:lastRenderedPageBreak/>
        <w:t>Both ASIC and their stakeholders acknowledge that the Modernising Business Registers (MBR) program has affected ASIC</w:t>
      </w:r>
      <w:r w:rsidR="00EF40B0">
        <w:rPr>
          <w:rFonts w:cstheme="minorHAnsi"/>
        </w:rPr>
        <w:t>’</w:t>
      </w:r>
      <w:r w:rsidRPr="003445BD">
        <w:rPr>
          <w:rFonts w:cstheme="minorHAnsi"/>
        </w:rPr>
        <w:t>s ability to progress its licensing portal and systems upgrade.</w:t>
      </w:r>
      <w:r w:rsidRPr="008E1146">
        <w:rPr>
          <w:rStyle w:val="FootnoteReference"/>
        </w:rPr>
        <w:footnoteReference w:id="140"/>
      </w:r>
      <w:r w:rsidRPr="008E1146">
        <w:rPr>
          <w:rStyle w:val="FootnoteReference"/>
        </w:rPr>
        <w:t xml:space="preserve"> </w:t>
      </w:r>
      <w:r w:rsidRPr="003445BD">
        <w:rPr>
          <w:rFonts w:cstheme="minorHAnsi"/>
        </w:rPr>
        <w:t xml:space="preserve">ASIC noted that upgrades to the licensing portal had previously been delayed to align with the delivery of the MBR program and to avoid needing to reengineer legacy systems multiple times. However, ASIC recently decided that given how </w:t>
      </w:r>
      <w:r w:rsidR="00A01F95">
        <w:rPr>
          <w:rFonts w:cstheme="minorHAnsi"/>
        </w:rPr>
        <w:t>dated</w:t>
      </w:r>
      <w:r w:rsidRPr="003445BD">
        <w:rPr>
          <w:rFonts w:cstheme="minorHAnsi"/>
        </w:rPr>
        <w:t xml:space="preserve"> the portal </w:t>
      </w:r>
      <w:r w:rsidR="00A01F95">
        <w:rPr>
          <w:rFonts w:cstheme="minorHAnsi"/>
        </w:rPr>
        <w:t>is</w:t>
      </w:r>
      <w:r w:rsidRPr="003445BD">
        <w:rPr>
          <w:rFonts w:cstheme="minorHAnsi"/>
        </w:rPr>
        <w:t xml:space="preserve"> becoming upgrades should proceed decoupled from the MBR program.</w:t>
      </w:r>
      <w:r w:rsidRPr="008E1146">
        <w:rPr>
          <w:rStyle w:val="FootnoteReference"/>
        </w:rPr>
        <w:footnoteReference w:id="141"/>
      </w:r>
    </w:p>
    <w:p w14:paraId="24C08560" w14:textId="27D2F245" w:rsidR="00A02457" w:rsidRPr="008E1146" w:rsidRDefault="00A02457" w:rsidP="00975036">
      <w:pPr>
        <w:pStyle w:val="numberedtext"/>
        <w:numPr>
          <w:ilvl w:val="0"/>
          <w:numId w:val="24"/>
        </w:numPr>
        <w:rPr>
          <w:rFonts w:cstheme="minorHAnsi"/>
        </w:rPr>
      </w:pPr>
      <w:bookmarkStart w:id="124" w:name="_Ref110262565"/>
      <w:r w:rsidRPr="008E1146">
        <w:rPr>
          <w:rFonts w:cstheme="minorHAnsi"/>
        </w:rPr>
        <w:t>The proposed new licensing portal is expected to provide a user</w:t>
      </w:r>
      <w:r w:rsidR="00EF40B0">
        <w:rPr>
          <w:rFonts w:cstheme="minorHAnsi"/>
        </w:rPr>
        <w:noBreakHyphen/>
      </w:r>
      <w:r w:rsidRPr="008E1146">
        <w:rPr>
          <w:rFonts w:cstheme="minorHAnsi"/>
        </w:rPr>
        <w:t xml:space="preserve">friendly experience for licensing applications or registrations. ASIC plans to commence its digital upgrade in </w:t>
      </w:r>
      <w:r w:rsidR="007C4899">
        <w:rPr>
          <w:rFonts w:cstheme="minorHAnsi"/>
        </w:rPr>
        <w:br/>
      </w:r>
      <w:r w:rsidR="00B841DC">
        <w:rPr>
          <w:rFonts w:cstheme="minorHAnsi"/>
        </w:rPr>
        <w:t>20</w:t>
      </w:r>
      <w:r w:rsidRPr="008E1146">
        <w:rPr>
          <w:rFonts w:cstheme="minorHAnsi"/>
        </w:rPr>
        <w:t>22</w:t>
      </w:r>
      <w:r w:rsidR="00B10941">
        <w:t>–</w:t>
      </w:r>
      <w:r w:rsidRPr="008E1146">
        <w:rPr>
          <w:rFonts w:cstheme="minorHAnsi"/>
        </w:rPr>
        <w:t>23.</w:t>
      </w:r>
      <w:r w:rsidRPr="008929AF">
        <w:rPr>
          <w:rStyle w:val="FootnoteReference"/>
        </w:rPr>
        <w:footnoteReference w:id="142"/>
      </w:r>
      <w:r w:rsidRPr="008929AF">
        <w:rPr>
          <w:rStyle w:val="FootnoteReference"/>
        </w:rPr>
        <w:t xml:space="preserve"> </w:t>
      </w:r>
      <w:r w:rsidRPr="008E1146">
        <w:rPr>
          <w:rFonts w:cstheme="minorHAnsi"/>
        </w:rPr>
        <w:t>Specifically, the new portal is intended to:</w:t>
      </w:r>
      <w:bookmarkEnd w:id="124"/>
      <w:r w:rsidRPr="008E1146">
        <w:rPr>
          <w:rFonts w:cstheme="minorHAnsi"/>
        </w:rPr>
        <w:t xml:space="preserve"> </w:t>
      </w:r>
    </w:p>
    <w:p w14:paraId="08C97B83" w14:textId="140B3569" w:rsidR="00A02457" w:rsidRPr="00DF6F72" w:rsidRDefault="00A02457" w:rsidP="00923A66">
      <w:pPr>
        <w:pStyle w:val="Bullet"/>
        <w:rPr>
          <w:rFonts w:eastAsiaTheme="minorEastAsia"/>
        </w:rPr>
      </w:pPr>
      <w:r w:rsidRPr="00B01258">
        <w:t>provide</w:t>
      </w:r>
      <w:r w:rsidRPr="00DF6F72">
        <w:rPr>
          <w:rFonts w:eastAsiaTheme="minorEastAsia"/>
        </w:rPr>
        <w:t xml:space="preserve"> integrated guidance throughout the </w:t>
      </w:r>
      <w:r w:rsidRPr="00923A66">
        <w:rPr>
          <w:rFonts w:eastAsiaTheme="minorEastAsia"/>
        </w:rPr>
        <w:t>application</w:t>
      </w:r>
      <w:r w:rsidRPr="00DF6F72">
        <w:rPr>
          <w:rFonts w:eastAsiaTheme="minorEastAsia"/>
        </w:rPr>
        <w:t xml:space="preserve"> process, consolidating the information into the one place</w:t>
      </w:r>
      <w:r w:rsidRPr="00DF6F72">
        <w:rPr>
          <w:rStyle w:val="FootnoteReference"/>
          <w:rFonts w:cstheme="minorHAnsi"/>
        </w:rPr>
        <w:footnoteReference w:id="143"/>
      </w:r>
    </w:p>
    <w:p w14:paraId="3493F694" w14:textId="13FCC2A9" w:rsidR="00A02457" w:rsidRPr="00DF6F72" w:rsidRDefault="00A02457" w:rsidP="00923A66">
      <w:pPr>
        <w:pStyle w:val="Bullet"/>
        <w:rPr>
          <w:rFonts w:eastAsiaTheme="minorEastAsia"/>
        </w:rPr>
      </w:pPr>
      <w:r w:rsidRPr="00B01258">
        <w:t>automatically</w:t>
      </w:r>
      <w:r w:rsidRPr="00DF6F72">
        <w:t xml:space="preserve"> review applications prior to lodgement to allow only completed applications to be </w:t>
      </w:r>
      <w:r w:rsidRPr="00DF6F72">
        <w:rPr>
          <w:rFonts w:eastAsiaTheme="minorEastAsia"/>
        </w:rPr>
        <w:t>submitted</w:t>
      </w:r>
      <w:r w:rsidRPr="00DF6F72">
        <w:t>, reducing the time taken to chase up missing documents and subsequent information requests,</w:t>
      </w:r>
      <w:r>
        <w:t xml:space="preserve"> and enabling ASIC to </w:t>
      </w:r>
      <w:r w:rsidR="007C4899">
        <w:t>track improvements more readily</w:t>
      </w:r>
      <w:r>
        <w:t xml:space="preserve"> in its timeframes</w:t>
      </w:r>
      <w:r w:rsidRPr="00DF6F72">
        <w:rPr>
          <w:rStyle w:val="FootnoteReference"/>
          <w:rFonts w:cstheme="minorHAnsi"/>
        </w:rPr>
        <w:footnoteReference w:id="144"/>
      </w:r>
    </w:p>
    <w:p w14:paraId="2B676921" w14:textId="0BBE2FF7" w:rsidR="00A02457" w:rsidRPr="00DF6F72" w:rsidRDefault="00A02457" w:rsidP="00923A66">
      <w:pPr>
        <w:pStyle w:val="Bullet"/>
        <w:rPr>
          <w:rFonts w:eastAsiaTheme="minorEastAsia"/>
        </w:rPr>
      </w:pPr>
      <w:r w:rsidRPr="00B01258">
        <w:t>enable</w:t>
      </w:r>
      <w:r w:rsidRPr="1A9AB6E6">
        <w:t xml:space="preserve"> the collection of data into ASIC</w:t>
      </w:r>
      <w:r w:rsidR="00EF40B0">
        <w:noBreakHyphen/>
      </w:r>
      <w:r w:rsidRPr="1A9AB6E6">
        <w:t>wide databases including ASIC</w:t>
      </w:r>
      <w:r w:rsidR="00EF40B0">
        <w:t>’</w:t>
      </w:r>
      <w:r w:rsidRPr="1A9AB6E6">
        <w:t xml:space="preserve">s CRM </w:t>
      </w:r>
      <w:r w:rsidR="003E1E7C">
        <w:t xml:space="preserve">system </w:t>
      </w:r>
      <w:r w:rsidRPr="1A9AB6E6">
        <w:t xml:space="preserve">(refer </w:t>
      </w:r>
      <w:r w:rsidR="00E124EB">
        <w:t xml:space="preserve">paragraph </w:t>
      </w:r>
      <w:r w:rsidR="00A6032A">
        <w:t>4.27</w:t>
      </w:r>
      <w:r w:rsidRPr="1A9AB6E6">
        <w:t>), allowing other ASIC teams to better access such information and intelligence</w:t>
      </w:r>
      <w:r w:rsidR="001A1CBE">
        <w:t xml:space="preserve">. </w:t>
      </w:r>
    </w:p>
    <w:p w14:paraId="3938D6E7" w14:textId="651FF5FF" w:rsidR="00A02457" w:rsidRPr="008929AF" w:rsidRDefault="00A02457" w:rsidP="00975036">
      <w:pPr>
        <w:pStyle w:val="numberedtext"/>
        <w:numPr>
          <w:ilvl w:val="0"/>
          <w:numId w:val="24"/>
        </w:numPr>
        <w:rPr>
          <w:rFonts w:cstheme="minorHAnsi"/>
        </w:rPr>
      </w:pPr>
      <w:r w:rsidRPr="008929AF">
        <w:rPr>
          <w:rFonts w:cstheme="minorHAnsi"/>
        </w:rPr>
        <w:t>ASIC also has 2 smaller projects that will bring incremental improvements.</w:t>
      </w:r>
      <w:r w:rsidRPr="008929AF">
        <w:rPr>
          <w:rStyle w:val="FootnoteReference"/>
        </w:rPr>
        <w:footnoteReference w:id="145"/>
      </w:r>
      <w:r w:rsidRPr="008929AF">
        <w:rPr>
          <w:rFonts w:cstheme="minorHAnsi"/>
        </w:rPr>
        <w:t xml:space="preserve"> These projects will assist the licensing team by automating record keeping and enabling AFSL applicants to upload supporting documents, previously sent via email</w:t>
      </w:r>
      <w:r w:rsidRPr="00BF56E8">
        <w:rPr>
          <w:rStyle w:val="FootnoteReference"/>
          <w:vertAlign w:val="baseline"/>
        </w:rPr>
        <w:t>.</w:t>
      </w:r>
      <w:r w:rsidRPr="008929AF">
        <w:rPr>
          <w:rStyle w:val="FootnoteReference"/>
        </w:rPr>
        <w:footnoteReference w:id="146"/>
      </w:r>
      <w:r w:rsidRPr="008929AF">
        <w:rPr>
          <w:rFonts w:cstheme="minorHAnsi"/>
        </w:rPr>
        <w:t xml:space="preserve"> These projects were scheduled to be completed by 30 June 2022 but have been delayed as ASIC seeks the resources to complete them</w:t>
      </w:r>
      <w:r w:rsidR="001A1CBE" w:rsidRPr="008929AF">
        <w:rPr>
          <w:rFonts w:cstheme="minorHAnsi"/>
        </w:rPr>
        <w:t xml:space="preserve">. </w:t>
      </w:r>
    </w:p>
    <w:p w14:paraId="5499336F" w14:textId="79033A71" w:rsidR="00931B94" w:rsidRDefault="00A02457" w:rsidP="00975036">
      <w:pPr>
        <w:pStyle w:val="numberedtext"/>
        <w:numPr>
          <w:ilvl w:val="0"/>
          <w:numId w:val="24"/>
        </w:numPr>
        <w:rPr>
          <w:rFonts w:cstheme="minorHAnsi"/>
        </w:rPr>
      </w:pPr>
      <w:r w:rsidRPr="008929AF">
        <w:rPr>
          <w:rFonts w:cstheme="minorHAnsi"/>
        </w:rPr>
        <w:t>The FRAA supports the proposed portal and systems upgrades and suggests that a key focus of the upgrade</w:t>
      </w:r>
      <w:r w:rsidR="00CF3ED5">
        <w:rPr>
          <w:rFonts w:cstheme="minorHAnsi"/>
        </w:rPr>
        <w:t xml:space="preserve"> should</w:t>
      </w:r>
      <w:r w:rsidRPr="008929AF">
        <w:rPr>
          <w:rFonts w:cstheme="minorHAnsi"/>
        </w:rPr>
        <w:t xml:space="preserve"> be how ASIC can most effectively use technology to enhance the user experience. </w:t>
      </w:r>
    </w:p>
    <w:p w14:paraId="09230F01" w14:textId="77777777" w:rsidR="00931B94" w:rsidRDefault="00931B94">
      <w:pPr>
        <w:spacing w:before="0" w:after="160" w:line="259" w:lineRule="auto"/>
        <w:rPr>
          <w:rFonts w:asciiTheme="minorHAnsi" w:eastAsiaTheme="minorHAnsi" w:hAnsiTheme="minorHAnsi" w:cstheme="minorHAnsi"/>
          <w:szCs w:val="22"/>
          <w:lang w:eastAsia="en-US"/>
        </w:rPr>
      </w:pPr>
      <w:r>
        <w:rPr>
          <w:rFonts w:cstheme="minorHAnsi"/>
        </w:rPr>
        <w:br w:type="page"/>
      </w:r>
    </w:p>
    <w:p w14:paraId="14570929" w14:textId="2567F157" w:rsidR="00A02457" w:rsidRDefault="00A02457" w:rsidP="00A02457">
      <w:pPr>
        <w:pStyle w:val="Heading4"/>
      </w:pPr>
      <w:r>
        <w:lastRenderedPageBreak/>
        <w:t>Proce</w:t>
      </w:r>
      <w:r w:rsidR="00A7236F">
        <w:t>ss</w:t>
      </w:r>
      <w:r>
        <w:t xml:space="preserve"> inconsistencies</w:t>
      </w:r>
    </w:p>
    <w:p w14:paraId="6A072995" w14:textId="4DA86AED" w:rsidR="00A02457" w:rsidRPr="008929AF" w:rsidRDefault="00A02457" w:rsidP="00975036">
      <w:pPr>
        <w:pStyle w:val="numberedtext"/>
        <w:numPr>
          <w:ilvl w:val="0"/>
          <w:numId w:val="24"/>
        </w:numPr>
        <w:rPr>
          <w:rFonts w:cstheme="minorHAnsi"/>
        </w:rPr>
      </w:pPr>
      <w:r w:rsidRPr="008929AF">
        <w:rPr>
          <w:rFonts w:cstheme="minorHAnsi"/>
        </w:rPr>
        <w:t>Once an application has been lodged ASIC analysts may contact the applicant and request that they provide further documentation.</w:t>
      </w:r>
      <w:r w:rsidR="00A7236F">
        <w:rPr>
          <w:rStyle w:val="FootnoteReference"/>
          <w:rFonts w:cstheme="minorHAnsi"/>
        </w:rPr>
        <w:footnoteReference w:id="147"/>
      </w:r>
      <w:r w:rsidRPr="008929AF">
        <w:rPr>
          <w:rFonts w:cstheme="minorHAnsi"/>
        </w:rPr>
        <w:t xml:space="preserve"> A few stakeholders noted inconsistencies in these decisions</w:t>
      </w:r>
      <w:r w:rsidRPr="00840E20">
        <w:rPr>
          <w:rStyle w:val="FootnoteReference"/>
          <w:vertAlign w:val="baseline"/>
        </w:rPr>
        <w:t>.</w:t>
      </w:r>
      <w:r w:rsidRPr="008929AF">
        <w:rPr>
          <w:rStyle w:val="FootnoteReference"/>
        </w:rPr>
        <w:footnoteReference w:id="148"/>
      </w:r>
      <w:r w:rsidRPr="008929AF">
        <w:rPr>
          <w:rFonts w:cstheme="minorHAnsi"/>
        </w:rPr>
        <w:t xml:space="preserve"> </w:t>
      </w:r>
    </w:p>
    <w:p w14:paraId="2FD3221B" w14:textId="108FAA94" w:rsidR="00A02457" w:rsidRPr="008929AF" w:rsidRDefault="008F6C21" w:rsidP="00975036">
      <w:pPr>
        <w:pStyle w:val="numberedtext"/>
        <w:numPr>
          <w:ilvl w:val="0"/>
          <w:numId w:val="24"/>
        </w:numPr>
        <w:rPr>
          <w:rFonts w:cstheme="minorHAnsi"/>
        </w:rPr>
      </w:pPr>
      <w:r>
        <w:rPr>
          <w:rFonts w:cstheme="minorHAnsi"/>
        </w:rPr>
        <w:t>I</w:t>
      </w:r>
      <w:r w:rsidR="00A02457" w:rsidRPr="008929AF">
        <w:rPr>
          <w:rFonts w:cstheme="minorHAnsi"/>
        </w:rPr>
        <w:t>n its self</w:t>
      </w:r>
      <w:r w:rsidR="00EF40B0">
        <w:rPr>
          <w:rFonts w:cstheme="minorHAnsi"/>
        </w:rPr>
        <w:noBreakHyphen/>
      </w:r>
      <w:r w:rsidR="00A02457" w:rsidRPr="008929AF">
        <w:rPr>
          <w:rFonts w:cstheme="minorHAnsi"/>
        </w:rPr>
        <w:t>assessment</w:t>
      </w:r>
      <w:r>
        <w:rPr>
          <w:rFonts w:cstheme="minorHAnsi"/>
        </w:rPr>
        <w:t>, ASIC</w:t>
      </w:r>
      <w:r w:rsidR="00A02457" w:rsidRPr="008929AF">
        <w:rPr>
          <w:rFonts w:cstheme="minorHAnsi"/>
        </w:rPr>
        <w:t xml:space="preserve"> noted that assessments require some level of subjectivity and judgement. Because of this, while there are processes in place to ensure consistency (refer </w:t>
      </w:r>
      <w:r w:rsidR="00E124EB">
        <w:rPr>
          <w:rFonts w:cstheme="minorHAnsi"/>
        </w:rPr>
        <w:t>paragraph</w:t>
      </w:r>
      <w:r w:rsidR="00A02457" w:rsidRPr="008929AF">
        <w:rPr>
          <w:rFonts w:cstheme="minorHAnsi"/>
        </w:rPr>
        <w:t xml:space="preserve"> </w:t>
      </w:r>
      <w:r w:rsidR="00A6032A">
        <w:rPr>
          <w:rFonts w:cstheme="minorHAnsi"/>
        </w:rPr>
        <w:t>5.21</w:t>
      </w:r>
      <w:r w:rsidR="00A02457" w:rsidRPr="008929AF">
        <w:rPr>
          <w:rFonts w:cstheme="minorHAnsi"/>
        </w:rPr>
        <w:t>), variations will occur from time to time as some analyst</w:t>
      </w:r>
      <w:r w:rsidR="00EF40B0">
        <w:rPr>
          <w:rFonts w:cstheme="minorHAnsi"/>
        </w:rPr>
        <w:t>’</w:t>
      </w:r>
      <w:r w:rsidR="00A02457" w:rsidRPr="008929AF">
        <w:rPr>
          <w:rFonts w:cstheme="minorHAnsi"/>
        </w:rPr>
        <w:t>s views as to the significance of matters may vary</w:t>
      </w:r>
      <w:r w:rsidR="00A02457" w:rsidRPr="00840E20">
        <w:rPr>
          <w:rStyle w:val="FootnoteReference"/>
          <w:vertAlign w:val="baseline"/>
        </w:rPr>
        <w:t>.</w:t>
      </w:r>
      <w:r w:rsidR="00A02457" w:rsidRPr="008929AF">
        <w:rPr>
          <w:rStyle w:val="FootnoteReference"/>
        </w:rPr>
        <w:footnoteReference w:id="149"/>
      </w:r>
    </w:p>
    <w:p w14:paraId="51D02BA4" w14:textId="77777777" w:rsidR="00A02457" w:rsidRPr="008929AF" w:rsidRDefault="00A02457" w:rsidP="00975036">
      <w:pPr>
        <w:pStyle w:val="numberedtext"/>
        <w:numPr>
          <w:ilvl w:val="0"/>
          <w:numId w:val="24"/>
        </w:numPr>
        <w:rPr>
          <w:rFonts w:cstheme="minorHAnsi"/>
        </w:rPr>
      </w:pPr>
      <w:r w:rsidRPr="008929AF">
        <w:rPr>
          <w:rFonts w:cstheme="minorHAnsi"/>
        </w:rPr>
        <w:t>Public submissions by the Law Council of Australia and targeted interviews with industry stakeholders reported procedural inconsistences in their licensing applications, noting the process appeared to vary depending on the analyst assigned to the assessment. Stakeholders noted these inconsistencies in operational decisions created additional uncertainty, delays in processing times and additional costs</w:t>
      </w:r>
      <w:r w:rsidRPr="00840E20">
        <w:rPr>
          <w:rStyle w:val="FootnoteReference"/>
          <w:vertAlign w:val="baseline"/>
        </w:rPr>
        <w:t>.</w:t>
      </w:r>
      <w:r w:rsidRPr="008929AF">
        <w:rPr>
          <w:rStyle w:val="FootnoteReference"/>
        </w:rPr>
        <w:footnoteReference w:id="150"/>
      </w:r>
      <w:r w:rsidRPr="008929AF">
        <w:rPr>
          <w:rFonts w:cstheme="minorHAnsi"/>
        </w:rPr>
        <w:t xml:space="preserve"> </w:t>
      </w:r>
    </w:p>
    <w:p w14:paraId="3A271782" w14:textId="39B93198" w:rsidR="00A02457" w:rsidRPr="008929AF" w:rsidRDefault="00A02457" w:rsidP="00975036">
      <w:pPr>
        <w:pStyle w:val="numberedtext"/>
        <w:numPr>
          <w:ilvl w:val="0"/>
          <w:numId w:val="24"/>
        </w:numPr>
        <w:rPr>
          <w:rFonts w:cstheme="minorHAnsi"/>
        </w:rPr>
      </w:pPr>
      <w:bookmarkStart w:id="125" w:name="_Ref110262616"/>
      <w:r w:rsidRPr="008929AF">
        <w:rPr>
          <w:rFonts w:cstheme="minorHAnsi"/>
        </w:rPr>
        <w:t>ASIC responded that it has processes in place to assist making consistent assessments, such as written policy and procedures, the use of assessment worksheets with decision</w:t>
      </w:r>
      <w:r w:rsidR="00EF40B0">
        <w:rPr>
          <w:rFonts w:cstheme="minorHAnsi"/>
        </w:rPr>
        <w:noBreakHyphen/>
      </w:r>
      <w:r w:rsidRPr="008929AF">
        <w:rPr>
          <w:rFonts w:cstheme="minorHAnsi"/>
        </w:rPr>
        <w:t>making templates, onboarding training and a mentor</w:t>
      </w:r>
      <w:r w:rsidR="005B2C5F">
        <w:rPr>
          <w:rFonts w:cstheme="minorHAnsi"/>
        </w:rPr>
        <w:t>/</w:t>
      </w:r>
      <w:r w:rsidRPr="008929AF">
        <w:rPr>
          <w:rFonts w:cstheme="minorHAnsi"/>
        </w:rPr>
        <w:t>buddy program. ASIC also implements a quality assurance process to review decisions each month, promoting consistency by measuring analyst compliance with ASIC</w:t>
      </w:r>
      <w:r w:rsidR="00EF40B0">
        <w:rPr>
          <w:rFonts w:cstheme="minorHAnsi"/>
        </w:rPr>
        <w:t>’</w:t>
      </w:r>
      <w:r w:rsidRPr="008929AF">
        <w:rPr>
          <w:rFonts w:cstheme="minorHAnsi"/>
        </w:rPr>
        <w:t>s licensing policies and procedures</w:t>
      </w:r>
      <w:r w:rsidRPr="00840E20">
        <w:rPr>
          <w:rStyle w:val="FootnoteReference"/>
          <w:vertAlign w:val="baseline"/>
        </w:rPr>
        <w:t>.</w:t>
      </w:r>
      <w:r w:rsidRPr="008929AF">
        <w:rPr>
          <w:rStyle w:val="FootnoteReference"/>
        </w:rPr>
        <w:footnoteReference w:id="151"/>
      </w:r>
      <w:bookmarkEnd w:id="125"/>
      <w:r w:rsidRPr="008929AF">
        <w:rPr>
          <w:rFonts w:cstheme="minorHAnsi"/>
        </w:rPr>
        <w:t xml:space="preserve"> </w:t>
      </w:r>
    </w:p>
    <w:p w14:paraId="08BDA368" w14:textId="5CBFD881" w:rsidR="00A02457" w:rsidRPr="008929AF" w:rsidRDefault="00A02457" w:rsidP="00975036">
      <w:pPr>
        <w:pStyle w:val="numberedtext"/>
        <w:numPr>
          <w:ilvl w:val="0"/>
          <w:numId w:val="24"/>
        </w:numPr>
        <w:rPr>
          <w:rFonts w:cstheme="minorHAnsi"/>
        </w:rPr>
      </w:pPr>
      <w:r w:rsidRPr="008929AF">
        <w:rPr>
          <w:rFonts w:cstheme="minorHAnsi"/>
        </w:rPr>
        <w:t>An applicant</w:t>
      </w:r>
      <w:r w:rsidR="00EF40B0">
        <w:rPr>
          <w:rFonts w:cstheme="minorHAnsi"/>
        </w:rPr>
        <w:t>’</w:t>
      </w:r>
      <w:r w:rsidRPr="008929AF">
        <w:rPr>
          <w:rFonts w:cstheme="minorHAnsi"/>
        </w:rPr>
        <w:t>s individual circumstances are key to a licensing assessment.</w:t>
      </w:r>
      <w:r w:rsidRPr="008929AF">
        <w:rPr>
          <w:rStyle w:val="FootnoteReference"/>
        </w:rPr>
        <w:footnoteReference w:id="152"/>
      </w:r>
      <w:r w:rsidRPr="008929AF">
        <w:rPr>
          <w:rFonts w:cstheme="minorHAnsi"/>
        </w:rPr>
        <w:t xml:space="preserve"> ASIC noted that wh</w:t>
      </w:r>
      <w:r w:rsidR="00735A96">
        <w:rPr>
          <w:rFonts w:cstheme="minorHAnsi"/>
        </w:rPr>
        <w:t>ile</w:t>
      </w:r>
      <w:r w:rsidRPr="008929AF">
        <w:rPr>
          <w:rFonts w:cstheme="minorHAnsi"/>
        </w:rPr>
        <w:t xml:space="preserve"> applications may seem similar to the applicant, ASIC may hold confidential intelligence about an applicant or its personnel </w:t>
      </w:r>
      <w:r w:rsidR="00735A96">
        <w:rPr>
          <w:rFonts w:cstheme="minorHAnsi"/>
        </w:rPr>
        <w:t xml:space="preserve">which impacts a particular </w:t>
      </w:r>
      <w:r w:rsidRPr="008929AF">
        <w:rPr>
          <w:rFonts w:cstheme="minorHAnsi"/>
        </w:rPr>
        <w:t xml:space="preserve">application. </w:t>
      </w:r>
    </w:p>
    <w:p w14:paraId="6E3283B4" w14:textId="02EFF5E6" w:rsidR="00931B94" w:rsidRDefault="00A02457" w:rsidP="00975036">
      <w:pPr>
        <w:pStyle w:val="numberedtext"/>
        <w:numPr>
          <w:ilvl w:val="0"/>
          <w:numId w:val="24"/>
        </w:numPr>
        <w:rPr>
          <w:rFonts w:cstheme="minorHAnsi"/>
        </w:rPr>
      </w:pPr>
      <w:r w:rsidRPr="008929AF">
        <w:rPr>
          <w:rFonts w:cstheme="minorHAnsi"/>
        </w:rPr>
        <w:t>The FRAA notes that it is difficult to assess operational consistency due to the subjective considerations required for licence assessments and situations where ASIC holds confidential information.</w:t>
      </w:r>
      <w:r w:rsidRPr="008929AF">
        <w:rPr>
          <w:rStyle w:val="FootnoteReference"/>
        </w:rPr>
        <w:footnoteReference w:id="153"/>
      </w:r>
      <w:r w:rsidRPr="008929AF">
        <w:rPr>
          <w:rFonts w:cstheme="minorHAnsi"/>
        </w:rPr>
        <w:t xml:space="preserve"> The FRAA supports the licensing function</w:t>
      </w:r>
      <w:r w:rsidR="00EF40B0">
        <w:rPr>
          <w:rFonts w:cstheme="minorHAnsi"/>
        </w:rPr>
        <w:t>’</w:t>
      </w:r>
      <w:r w:rsidRPr="008929AF">
        <w:rPr>
          <w:rFonts w:cstheme="minorHAnsi"/>
        </w:rPr>
        <w:t>s consistency measures and encourages ASIC to continue to review and refine its methodology and staff capabilities to promote consistency, including via its digital upgrade.</w:t>
      </w:r>
    </w:p>
    <w:p w14:paraId="4AB91840" w14:textId="77777777" w:rsidR="00931B94" w:rsidRDefault="00931B94">
      <w:pPr>
        <w:spacing w:before="0" w:after="160" w:line="259" w:lineRule="auto"/>
        <w:rPr>
          <w:rFonts w:asciiTheme="minorHAnsi" w:eastAsiaTheme="minorHAnsi" w:hAnsiTheme="minorHAnsi" w:cstheme="minorHAnsi"/>
          <w:szCs w:val="22"/>
          <w:lang w:eastAsia="en-US"/>
        </w:rPr>
      </w:pPr>
      <w:r>
        <w:rPr>
          <w:rFonts w:cstheme="minorHAnsi"/>
        </w:rPr>
        <w:br w:type="page"/>
      </w:r>
    </w:p>
    <w:p w14:paraId="22F36FB4" w14:textId="77777777" w:rsidR="00A02457" w:rsidRPr="001C17C6" w:rsidRDefault="00A02457" w:rsidP="001C17C6">
      <w:pPr>
        <w:pStyle w:val="Heading3"/>
      </w:pPr>
      <w:bookmarkStart w:id="126" w:name="_Toc108786458"/>
      <w:r w:rsidRPr="001C17C6">
        <w:lastRenderedPageBreak/>
        <w:t>Timeliness of decisions</w:t>
      </w:r>
      <w:bookmarkEnd w:id="126"/>
      <w:r w:rsidRPr="001C17C6">
        <w:t xml:space="preserve"> </w:t>
      </w:r>
    </w:p>
    <w:p w14:paraId="5779B637" w14:textId="73DA6551" w:rsidR="00A02457" w:rsidRPr="008929AF" w:rsidRDefault="00A02457" w:rsidP="00975036">
      <w:pPr>
        <w:pStyle w:val="numberedtext"/>
        <w:numPr>
          <w:ilvl w:val="0"/>
          <w:numId w:val="24"/>
        </w:numPr>
        <w:rPr>
          <w:rFonts w:cstheme="minorHAnsi"/>
        </w:rPr>
      </w:pPr>
      <w:r w:rsidRPr="008929AF">
        <w:rPr>
          <w:rFonts w:cstheme="minorHAnsi"/>
        </w:rPr>
        <w:t>Timeliness of licensing application decisions was the main concern raised by licensing stakeholders. Several industry stakeholders commented that ASIC</w:t>
      </w:r>
      <w:r w:rsidR="00EF40B0">
        <w:rPr>
          <w:rFonts w:cstheme="minorHAnsi"/>
        </w:rPr>
        <w:t>’</w:t>
      </w:r>
      <w:r w:rsidRPr="008929AF">
        <w:rPr>
          <w:rFonts w:cstheme="minorHAnsi"/>
        </w:rPr>
        <w:t>s licensing processing times are too long.</w:t>
      </w:r>
      <w:r w:rsidRPr="008929AF">
        <w:rPr>
          <w:rStyle w:val="FootnoteReference"/>
        </w:rPr>
        <w:footnoteReference w:id="154"/>
      </w:r>
      <w:r w:rsidRPr="008929AF">
        <w:rPr>
          <w:rFonts w:cstheme="minorHAnsi"/>
        </w:rPr>
        <w:t xml:space="preserve"> One stakeholder commented that it can be faster to take over a licenced entity than process a licence application with ASIC.</w:t>
      </w:r>
      <w:r w:rsidRPr="008929AF">
        <w:rPr>
          <w:rStyle w:val="FootnoteReference"/>
        </w:rPr>
        <w:footnoteReference w:id="155"/>
      </w:r>
    </w:p>
    <w:p w14:paraId="735045B4" w14:textId="40784796" w:rsidR="00A02457" w:rsidRPr="008929AF" w:rsidRDefault="00A02457" w:rsidP="00975036">
      <w:pPr>
        <w:pStyle w:val="numberedtext"/>
        <w:numPr>
          <w:ilvl w:val="0"/>
          <w:numId w:val="24"/>
        </w:numPr>
        <w:rPr>
          <w:rFonts w:cstheme="minorHAnsi"/>
        </w:rPr>
      </w:pPr>
      <w:r w:rsidRPr="008929AF">
        <w:rPr>
          <w:rFonts w:cstheme="minorHAnsi"/>
        </w:rPr>
        <w:t>Public submissions from the Business Council of Australia and Law Council of Australia pointed to licensing timeframes of 6 months.</w:t>
      </w:r>
      <w:r w:rsidRPr="008929AF">
        <w:rPr>
          <w:rStyle w:val="FootnoteReference"/>
        </w:rPr>
        <w:footnoteReference w:id="156"/>
      </w:r>
      <w:r w:rsidRPr="008929AF">
        <w:rPr>
          <w:rFonts w:cstheme="minorHAnsi"/>
        </w:rPr>
        <w:t xml:space="preserve"> This did not reconcile with the data provided by ASIC that showed 70% of AFSL applications were completed within 143 days (under 5</w:t>
      </w:r>
      <w:r w:rsidR="00AC7ECA" w:rsidRPr="008929AF">
        <w:rPr>
          <w:rFonts w:cstheme="minorHAnsi"/>
        </w:rPr>
        <w:t> </w:t>
      </w:r>
      <w:r w:rsidRPr="008929AF">
        <w:rPr>
          <w:rFonts w:cstheme="minorHAnsi"/>
        </w:rPr>
        <w:t xml:space="preserve">months). The comments reflected in these submissions may have come from individuals whose applications fell in the 90% of AFSL applications completed in 240 days (over 7 months). </w:t>
      </w:r>
    </w:p>
    <w:p w14:paraId="698EEF8B" w14:textId="05C1BC1D" w:rsidR="00181DCA" w:rsidRPr="0044669F" w:rsidRDefault="00EF40B0" w:rsidP="00AC7ECA">
      <w:pPr>
        <w:pStyle w:val="Quote"/>
      </w:pPr>
      <w:r>
        <w:rPr>
          <w:shd w:val="clear" w:color="auto" w:fill="FFFFFF" w:themeFill="background1"/>
        </w:rPr>
        <w:t>‘</w:t>
      </w:r>
      <w:r w:rsidR="00181DCA" w:rsidRPr="0044669F">
        <w:rPr>
          <w:shd w:val="clear" w:color="auto" w:fill="FFFFFF" w:themeFill="background1"/>
        </w:rPr>
        <w:t>…ASIC</w:t>
      </w:r>
      <w:r>
        <w:rPr>
          <w:shd w:val="clear" w:color="auto" w:fill="FFFFFF" w:themeFill="background1"/>
        </w:rPr>
        <w:t>’</w:t>
      </w:r>
      <w:r w:rsidR="00181DCA" w:rsidRPr="0044669F">
        <w:rPr>
          <w:shd w:val="clear" w:color="auto" w:fill="FFFFFF" w:themeFill="background1"/>
        </w:rPr>
        <w:t>s decisions in response to Australian Financial Service Licences are not timely. It usually takes over 6 months for an application to be considered, even for run</w:t>
      </w:r>
      <w:r>
        <w:rPr>
          <w:shd w:val="clear" w:color="auto" w:fill="FFFFFF" w:themeFill="background1"/>
        </w:rPr>
        <w:noBreakHyphen/>
      </w:r>
      <w:r w:rsidR="00181DCA" w:rsidRPr="0044669F">
        <w:rPr>
          <w:shd w:val="clear" w:color="auto" w:fill="FFFFFF" w:themeFill="background1"/>
        </w:rPr>
        <w:t>of</w:t>
      </w:r>
      <w:r>
        <w:rPr>
          <w:shd w:val="clear" w:color="auto" w:fill="FFFFFF" w:themeFill="background1"/>
        </w:rPr>
        <w:noBreakHyphen/>
      </w:r>
      <w:r w:rsidR="00181DCA" w:rsidRPr="0044669F">
        <w:rPr>
          <w:shd w:val="clear" w:color="auto" w:fill="FFFFFF" w:themeFill="background1"/>
        </w:rPr>
        <w:t>the</w:t>
      </w:r>
      <w:r>
        <w:rPr>
          <w:shd w:val="clear" w:color="auto" w:fill="FFFFFF" w:themeFill="background1"/>
        </w:rPr>
        <w:noBreakHyphen/>
      </w:r>
      <w:r w:rsidR="00181DCA" w:rsidRPr="0044669F">
        <w:rPr>
          <w:shd w:val="clear" w:color="auto" w:fill="FFFFFF" w:themeFill="background1"/>
        </w:rPr>
        <w:t>mill applications.</w:t>
      </w:r>
      <w:r>
        <w:rPr>
          <w:shd w:val="clear" w:color="auto" w:fill="FFFFFF" w:themeFill="background1"/>
        </w:rPr>
        <w:t>’</w:t>
      </w:r>
      <w:r w:rsidR="00181DCA" w:rsidRPr="0044669F">
        <w:rPr>
          <w:shd w:val="clear" w:color="auto" w:fill="FFFFFF" w:themeFill="background1"/>
        </w:rPr>
        <w:t xml:space="preserve"> </w:t>
      </w:r>
      <w:r w:rsidR="005B2C5F">
        <w:rPr>
          <w:shd w:val="clear" w:color="auto" w:fill="FFFFFF" w:themeFill="background1"/>
        </w:rPr>
        <w:t xml:space="preserve">– </w:t>
      </w:r>
      <w:r w:rsidR="00181DCA" w:rsidRPr="0044669F">
        <w:rPr>
          <w:shd w:val="clear" w:color="auto" w:fill="FFFFFF" w:themeFill="background1"/>
        </w:rPr>
        <w:t>Public submission, Business Council of Australia</w:t>
      </w:r>
      <w:r w:rsidR="00181DCA" w:rsidRPr="0044669F">
        <w:rPr>
          <w:shd w:val="clear" w:color="auto" w:fill="E6E6E6"/>
        </w:rPr>
        <w:t xml:space="preserve"> </w:t>
      </w:r>
    </w:p>
    <w:p w14:paraId="2B8889BB" w14:textId="77777777" w:rsidR="00A02457" w:rsidRPr="00143CB6" w:rsidRDefault="00A02457" w:rsidP="00143CB6">
      <w:pPr>
        <w:pStyle w:val="Heading4"/>
      </w:pPr>
      <w:r w:rsidRPr="00143CB6">
        <w:t xml:space="preserve">Service Charter timeframes </w:t>
      </w:r>
    </w:p>
    <w:p w14:paraId="3018836E" w14:textId="46DB74B0" w:rsidR="00181DCA" w:rsidRPr="008929AF" w:rsidRDefault="00A02457" w:rsidP="00975036">
      <w:pPr>
        <w:pStyle w:val="numberedtext"/>
        <w:numPr>
          <w:ilvl w:val="0"/>
          <w:numId w:val="24"/>
        </w:numPr>
        <w:rPr>
          <w:rFonts w:cstheme="minorHAnsi"/>
        </w:rPr>
      </w:pPr>
      <w:bookmarkStart w:id="127" w:name="_Ref110262762"/>
      <w:r w:rsidRPr="008929AF">
        <w:rPr>
          <w:rFonts w:cstheme="minorHAnsi"/>
        </w:rPr>
        <w:t>ASIC</w:t>
      </w:r>
      <w:r w:rsidR="00EF40B0">
        <w:rPr>
          <w:rFonts w:cstheme="minorHAnsi"/>
        </w:rPr>
        <w:t>’</w:t>
      </w:r>
      <w:r w:rsidRPr="008929AF">
        <w:rPr>
          <w:rFonts w:cstheme="minorHAnsi"/>
        </w:rPr>
        <w:t xml:space="preserve">s targeted licensing timeframes are published in its </w:t>
      </w:r>
      <w:r w:rsidR="00181DCA" w:rsidRPr="008929AF">
        <w:rPr>
          <w:rFonts w:cstheme="minorHAnsi"/>
        </w:rPr>
        <w:t xml:space="preserve">Service Charter </w:t>
      </w:r>
      <w:r w:rsidRPr="008929AF">
        <w:rPr>
          <w:rFonts w:cstheme="minorHAnsi"/>
        </w:rPr>
        <w:t xml:space="preserve">which </w:t>
      </w:r>
      <w:r w:rsidR="00181DCA" w:rsidRPr="008929AF">
        <w:rPr>
          <w:rFonts w:cstheme="minorHAnsi"/>
        </w:rPr>
        <w:t>are set by the Commission</w:t>
      </w:r>
      <w:r w:rsidRPr="008929AF">
        <w:rPr>
          <w:rFonts w:cstheme="minorHAnsi"/>
        </w:rPr>
        <w:t xml:space="preserve">. These are </w:t>
      </w:r>
      <w:r w:rsidR="00181DCA" w:rsidRPr="008929AF">
        <w:rPr>
          <w:rFonts w:cstheme="minorHAnsi"/>
        </w:rPr>
        <w:t xml:space="preserve">broadly consistent with the average timeframes set by </w:t>
      </w:r>
      <w:r w:rsidRPr="008929AF">
        <w:rPr>
          <w:rFonts w:cstheme="minorHAnsi"/>
        </w:rPr>
        <w:t xml:space="preserve">international </w:t>
      </w:r>
      <w:r w:rsidR="00181DCA" w:rsidRPr="008929AF">
        <w:rPr>
          <w:rFonts w:cstheme="minorHAnsi"/>
        </w:rPr>
        <w:t>peer regulators</w:t>
      </w:r>
      <w:r w:rsidRPr="008929AF">
        <w:rPr>
          <w:rFonts w:cstheme="minorHAnsi"/>
        </w:rPr>
        <w:t>, with some ahead, such as the Monetary Authority of Singapore (MAS) and some behind, such as the FCA.</w:t>
      </w:r>
      <w:r w:rsidR="00181DCA" w:rsidRPr="008929AF">
        <w:rPr>
          <w:rFonts w:cstheme="minorHAnsi"/>
        </w:rPr>
        <w:t xml:space="preserve"> The Service Charter states that ASIC will aim to complete </w:t>
      </w:r>
      <w:r w:rsidRPr="008929AF">
        <w:rPr>
          <w:rFonts w:cstheme="minorHAnsi"/>
        </w:rPr>
        <w:t>the assessment of:</w:t>
      </w:r>
      <w:bookmarkEnd w:id="127"/>
      <w:r w:rsidR="00181DCA" w:rsidRPr="008929AF">
        <w:rPr>
          <w:rFonts w:cstheme="minorHAnsi"/>
        </w:rPr>
        <w:t xml:space="preserve"> </w:t>
      </w:r>
    </w:p>
    <w:p w14:paraId="3776EB27" w14:textId="77777777" w:rsidR="00181DCA" w:rsidRPr="005325BF" w:rsidRDefault="00181DCA" w:rsidP="00923A66">
      <w:pPr>
        <w:pStyle w:val="Bullet"/>
      </w:pPr>
      <w:r w:rsidRPr="005325BF">
        <w:t>70% of AFSL and ACL applications within 150 days</w:t>
      </w:r>
    </w:p>
    <w:p w14:paraId="682808FD" w14:textId="77777777" w:rsidR="00181DCA" w:rsidRPr="006C64E7" w:rsidRDefault="00181DCA" w:rsidP="00923A66">
      <w:pPr>
        <w:pStyle w:val="Bullet"/>
      </w:pPr>
      <w:r w:rsidRPr="005325BF">
        <w:t>90%</w:t>
      </w:r>
      <w:r w:rsidRPr="006C64E7">
        <w:t xml:space="preserve"> of AFSL and ACL applications within 240 days</w:t>
      </w:r>
    </w:p>
    <w:p w14:paraId="62EDB93C" w14:textId="217F1290" w:rsidR="00FD187D" w:rsidRDefault="00181DCA" w:rsidP="00923A66">
      <w:pPr>
        <w:pStyle w:val="Bullet"/>
      </w:pPr>
      <w:r w:rsidRPr="006C64E7">
        <w:t>80</w:t>
      </w:r>
      <w:r w:rsidRPr="00052748">
        <w:t>%</w:t>
      </w:r>
      <w:r w:rsidRPr="007065A2">
        <w:t xml:space="preserve"> of auditor and authorised </w:t>
      </w:r>
      <w:r w:rsidRPr="00923A66">
        <w:t>audit</w:t>
      </w:r>
      <w:r w:rsidRPr="007065A2">
        <w:t xml:space="preserve"> company registrations with 28 days.</w:t>
      </w:r>
      <w:r w:rsidR="00BD4FEC">
        <w:rPr>
          <w:rStyle w:val="FootnoteReference"/>
        </w:rPr>
        <w:footnoteReference w:id="157"/>
      </w:r>
      <w:r w:rsidRPr="007065A2">
        <w:t xml:space="preserve"> </w:t>
      </w:r>
    </w:p>
    <w:p w14:paraId="22F7DD67" w14:textId="77777777" w:rsidR="00FD187D" w:rsidRDefault="00FD187D">
      <w:pPr>
        <w:spacing w:before="0" w:after="160" w:line="259" w:lineRule="auto"/>
      </w:pPr>
      <w:r>
        <w:br w:type="page"/>
      </w:r>
    </w:p>
    <w:p w14:paraId="54E81F24" w14:textId="10FF84BE" w:rsidR="00A02457" w:rsidRPr="008929AF" w:rsidRDefault="00A02457" w:rsidP="00975036">
      <w:pPr>
        <w:pStyle w:val="numberedtext"/>
        <w:numPr>
          <w:ilvl w:val="0"/>
          <w:numId w:val="24"/>
        </w:numPr>
        <w:rPr>
          <w:rFonts w:cstheme="minorHAnsi"/>
        </w:rPr>
      </w:pPr>
      <w:r w:rsidRPr="008929AF">
        <w:rPr>
          <w:rFonts w:cstheme="minorHAnsi"/>
        </w:rPr>
        <w:lastRenderedPageBreak/>
        <w:t>There are a number of complexities when comparing jurisdictions. Some key differences include the time measurement methodology (stop the clock vs total elapsed time), assessment requirements</w:t>
      </w:r>
      <w:r w:rsidR="00270C37">
        <w:rPr>
          <w:rFonts w:cstheme="minorHAnsi"/>
        </w:rPr>
        <w:t>, legislative framework,</w:t>
      </w:r>
      <w:r w:rsidRPr="008929AF">
        <w:rPr>
          <w:rFonts w:cstheme="minorHAnsi"/>
        </w:rPr>
        <w:t xml:space="preserve"> and resourcing. ASIC</w:t>
      </w:r>
      <w:r w:rsidR="00EF40B0">
        <w:rPr>
          <w:rFonts w:cstheme="minorHAnsi"/>
        </w:rPr>
        <w:t>’</w:t>
      </w:r>
      <w:r w:rsidRPr="008929AF">
        <w:rPr>
          <w:rFonts w:cstheme="minorHAnsi"/>
        </w:rPr>
        <w:t>s Service Charter standards are based on total elapsed time, which includes time spent waiting for applicants to respond to requisitions. Other jurisdictions, such as the FCA, can stop the clock when waiting for applicants</w:t>
      </w:r>
      <w:r w:rsidR="00EF40B0">
        <w:rPr>
          <w:rFonts w:cstheme="minorHAnsi"/>
        </w:rPr>
        <w:t>’</w:t>
      </w:r>
      <w:r w:rsidRPr="008929AF">
        <w:rPr>
          <w:rFonts w:cstheme="minorHAnsi"/>
        </w:rPr>
        <w:t xml:space="preserve"> responses, while others only consider complete applications (</w:t>
      </w:r>
      <w:r w:rsidR="00922618">
        <w:rPr>
          <w:rFonts w:cstheme="minorHAnsi"/>
        </w:rPr>
        <w:t xml:space="preserve">refer </w:t>
      </w:r>
      <w:r w:rsidR="00A6032A" w:rsidRPr="00BB0B19">
        <w:t>Figure 5.</w:t>
      </w:r>
      <w:r w:rsidR="00A6032A">
        <w:t>4</w:t>
      </w:r>
      <w:r w:rsidRPr="008929AF">
        <w:rPr>
          <w:rFonts w:cstheme="minorHAnsi"/>
        </w:rPr>
        <w:t xml:space="preserve">). </w:t>
      </w:r>
    </w:p>
    <w:p w14:paraId="67FF9AF1" w14:textId="0913328C" w:rsidR="00A02457" w:rsidRDefault="00AC7ECA" w:rsidP="001655A9">
      <w:pPr>
        <w:pStyle w:val="FigureMainHeading"/>
      </w:pPr>
      <w:bookmarkStart w:id="128" w:name="Figure_5_4"/>
      <w:r w:rsidRPr="00BB0B19">
        <w:t>Figure 5.</w:t>
      </w:r>
      <w:r w:rsidR="00BD4FEC">
        <w:t>4</w:t>
      </w:r>
      <w:bookmarkEnd w:id="128"/>
      <w:r w:rsidRPr="00BB0B19">
        <w:t>: Comparison of international regulators, based on service charter equivalents</w:t>
      </w:r>
      <w:r w:rsidRPr="00CB3FA7">
        <w:rPr>
          <w:rStyle w:val="FootnoteReference"/>
          <w:rFonts w:asciiTheme="minorHAnsi" w:hAnsiTheme="minorHAnsi" w:cstheme="minorHAnsi"/>
          <w:sz w:val="22"/>
        </w:rPr>
        <w:footnoteReference w:id="158"/>
      </w:r>
      <w:r w:rsidRPr="00CB3FA7">
        <w:t xml:space="preserve">  </w:t>
      </w:r>
    </w:p>
    <w:p w14:paraId="61B21B7F" w14:textId="45D32B0F" w:rsidR="00AC7ECA" w:rsidRDefault="00AC7ECA" w:rsidP="007D51E8">
      <w:pPr>
        <w:pStyle w:val="ChartGraphic"/>
        <w:ind w:left="170"/>
      </w:pPr>
      <w:r>
        <w:rPr>
          <w:noProof/>
        </w:rPr>
        <w:drawing>
          <wp:inline distT="0" distB="0" distL="0" distR="0" wp14:anchorId="1F200C9B" wp14:editId="47D29FF9">
            <wp:extent cx="5731509" cy="5767881"/>
            <wp:effectExtent l="0" t="0" r="3175" b="4445"/>
            <wp:docPr id="33" name="Picture 33" descr="Figure 5.4 shows 3 rows. In the middle row, there is a box titled “ASIC” with the Australian flag. In the top row there are 3 boxes listing regulators with faster processing times. From left (slowest) to right (fastest), these are Ontario Securities Commission (Canada), Monetary Authority of Singapore and the Securities and Futures Commission of Hong Kong. The bottom row has 3 boxes listing regulators with slower processing times. From left (fastest) to right (slowest) these are Financial Services Authority of Japan, Financial Industry Regulation Authority (United States) and Financial Conduct Authority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5.4 shows 3 rows. In the middle row, there is a box titled “ASIC” with the Australian flag. In the top row there are 3 boxes listing regulators with faster processing times. From left (slowest) to right (fastest), these are Ontario Securities Commission (Canada), Monetary Authority of Singapore and the Securities and Futures Commission of Hong Kong. The bottom row has 3 boxes listing regulators with slower processing times. From left (fastest) to right (slowest) these are Financial Services Authority of Japan, Financial Industry Regulation Authority (United States) and Financial Conduct Authority (United Kingdom)."/>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731509" cy="5767881"/>
                    </a:xfrm>
                    <a:prstGeom prst="rect">
                      <a:avLst/>
                    </a:prstGeom>
                    <a:noFill/>
                    <a:ln>
                      <a:noFill/>
                    </a:ln>
                  </pic:spPr>
                </pic:pic>
              </a:graphicData>
            </a:graphic>
          </wp:inline>
        </w:drawing>
      </w:r>
    </w:p>
    <w:p w14:paraId="2CDE65D6" w14:textId="5B90D950" w:rsidR="00FD187D" w:rsidRDefault="00AC7ECA" w:rsidP="00AC7ECA">
      <w:pPr>
        <w:pStyle w:val="Source"/>
      </w:pPr>
      <w:r w:rsidRPr="00231EB5">
        <w:t xml:space="preserve">Source: ASIC, </w:t>
      </w:r>
      <w:r w:rsidRPr="001140DE">
        <w:t>Material supplied to th</w:t>
      </w:r>
      <w:r w:rsidR="00BD4FEC" w:rsidRPr="001140DE">
        <w:t>is</w:t>
      </w:r>
      <w:r w:rsidRPr="001140DE">
        <w:t xml:space="preserve"> </w:t>
      </w:r>
      <w:r w:rsidR="00FF1551" w:rsidRPr="001140DE">
        <w:t>r</w:t>
      </w:r>
      <w:r w:rsidRPr="001140DE">
        <w:t>eview</w:t>
      </w:r>
      <w:r w:rsidR="00BD4FEC" w:rsidRPr="001140DE">
        <w:t>,</w:t>
      </w:r>
      <w:r w:rsidR="00BD4FEC">
        <w:rPr>
          <w:i/>
          <w:iCs/>
        </w:rPr>
        <w:t xml:space="preserve"> </w:t>
      </w:r>
      <w:r w:rsidR="00BD4FEC">
        <w:t>2022.</w:t>
      </w:r>
    </w:p>
    <w:p w14:paraId="5EEDCBE5" w14:textId="77777777" w:rsidR="00FD187D" w:rsidRDefault="00FD187D">
      <w:pPr>
        <w:spacing w:before="0" w:after="160" w:line="259" w:lineRule="auto"/>
        <w:rPr>
          <w:rFonts w:asciiTheme="minorHAnsi" w:eastAsiaTheme="minorHAnsi" w:hAnsiTheme="minorHAnsi" w:cstheme="minorBidi"/>
          <w:sz w:val="18"/>
          <w:szCs w:val="18"/>
          <w:lang w:eastAsia="en-US"/>
        </w:rPr>
      </w:pPr>
      <w:r>
        <w:br w:type="page"/>
      </w:r>
    </w:p>
    <w:p w14:paraId="41F0F700" w14:textId="7224F04E" w:rsidR="00A02457" w:rsidRPr="008929AF" w:rsidRDefault="00A02457" w:rsidP="00975036">
      <w:pPr>
        <w:pStyle w:val="numberedtext"/>
        <w:numPr>
          <w:ilvl w:val="0"/>
          <w:numId w:val="24"/>
        </w:numPr>
        <w:rPr>
          <w:rFonts w:cstheme="minorHAnsi"/>
        </w:rPr>
      </w:pPr>
      <w:r w:rsidRPr="008929AF">
        <w:rPr>
          <w:rFonts w:cstheme="minorHAnsi"/>
        </w:rPr>
        <w:lastRenderedPageBreak/>
        <w:t>Over the last 3 years ASIC has generally met its Service Charter standards (</w:t>
      </w:r>
      <w:r w:rsidR="00922618">
        <w:rPr>
          <w:rFonts w:cstheme="minorHAnsi"/>
        </w:rPr>
        <w:t xml:space="preserve">refer </w:t>
      </w:r>
      <w:r w:rsidR="00A6032A" w:rsidRPr="00BB0B19">
        <w:t>Figure 5.</w:t>
      </w:r>
      <w:r w:rsidR="00A6032A">
        <w:t>5</w:t>
      </w:r>
      <w:r w:rsidRPr="008929AF">
        <w:rPr>
          <w:rFonts w:cstheme="minorHAnsi"/>
        </w:rPr>
        <w:t>).</w:t>
      </w:r>
      <w:r w:rsidRPr="008929AF">
        <w:rPr>
          <w:rStyle w:val="FootnoteReference"/>
        </w:rPr>
        <w:footnoteReference w:id="159"/>
      </w:r>
      <w:r w:rsidRPr="008929AF">
        <w:rPr>
          <w:rFonts w:cstheme="minorHAnsi"/>
        </w:rPr>
        <w:t xml:space="preserve"> ASIC noted that there had been a small increase in timeframes in recent years primarily due to legislative reforms that at times, have increased licensing volumes by up to 40%.</w:t>
      </w:r>
      <w:r w:rsidRPr="008929AF">
        <w:rPr>
          <w:rStyle w:val="FootnoteReference"/>
        </w:rPr>
        <w:footnoteReference w:id="160"/>
      </w:r>
      <w:r w:rsidRPr="008929AF">
        <w:rPr>
          <w:rFonts w:cstheme="minorHAnsi"/>
        </w:rPr>
        <w:t xml:space="preserve"> During these high</w:t>
      </w:r>
      <w:r w:rsidR="00EF40B0">
        <w:rPr>
          <w:rFonts w:cstheme="minorHAnsi"/>
        </w:rPr>
        <w:noBreakHyphen/>
      </w:r>
      <w:r w:rsidRPr="008929AF">
        <w:rPr>
          <w:rFonts w:cstheme="minorHAnsi"/>
        </w:rPr>
        <w:t xml:space="preserve">volume periods, the Commission, in considering its broader mandate, did not increase the licensing resources, but made strategic decisions to prioritise incoming applicants to meet legislative transitional arrangement timings. </w:t>
      </w:r>
    </w:p>
    <w:p w14:paraId="544091B1" w14:textId="25359C8C" w:rsidR="00A02457" w:rsidRDefault="00AC7ECA" w:rsidP="00B02E9E">
      <w:pPr>
        <w:pStyle w:val="FigureMainHeading"/>
        <w:spacing w:before="360"/>
      </w:pPr>
      <w:bookmarkStart w:id="129" w:name="Figure_5_5"/>
      <w:r w:rsidRPr="00BB0B19">
        <w:t>Figure 5.</w:t>
      </w:r>
      <w:r w:rsidR="00BD4FEC">
        <w:t>5</w:t>
      </w:r>
      <w:bookmarkEnd w:id="129"/>
      <w:r w:rsidRPr="00BB0B19">
        <w:t xml:space="preserve">: Performance against ASIC </w:t>
      </w:r>
      <w:r w:rsidRPr="003D082A">
        <w:t>Service</w:t>
      </w:r>
      <w:r w:rsidRPr="00BB0B19">
        <w:t xml:space="preserve"> Charter standards for licensing</w:t>
      </w:r>
    </w:p>
    <w:tbl>
      <w:tblPr>
        <w:tblStyle w:val="FRAAtable1"/>
        <w:tblW w:w="4685" w:type="pct"/>
        <w:tblInd w:w="567" w:type="dxa"/>
        <w:tblLook w:val="04A0" w:firstRow="1" w:lastRow="0" w:firstColumn="1" w:lastColumn="0" w:noHBand="0" w:noVBand="1"/>
      </w:tblPr>
      <w:tblGrid>
        <w:gridCol w:w="2179"/>
        <w:gridCol w:w="1053"/>
        <w:gridCol w:w="1053"/>
        <w:gridCol w:w="1054"/>
        <w:gridCol w:w="1053"/>
        <w:gridCol w:w="1053"/>
        <w:gridCol w:w="1054"/>
      </w:tblGrid>
      <w:tr w:rsidR="00AC7ECA" w:rsidRPr="00AC7ECA" w14:paraId="7876A778" w14:textId="77777777" w:rsidTr="00B02E9E">
        <w:trPr>
          <w:cnfStyle w:val="100000000000" w:firstRow="1" w:lastRow="0" w:firstColumn="0" w:lastColumn="0" w:oddVBand="0" w:evenVBand="0" w:oddHBand="0" w:evenHBand="0" w:firstRowFirstColumn="0" w:firstRowLastColumn="0" w:lastRowFirstColumn="0" w:lastRowLastColumn="0"/>
        </w:trPr>
        <w:tc>
          <w:tcPr>
            <w:tcW w:w="2179" w:type="dxa"/>
          </w:tcPr>
          <w:p w14:paraId="57E878DD" w14:textId="16D92218" w:rsidR="00AC7ECA" w:rsidRPr="00AC7ECA" w:rsidRDefault="00AC7ECA" w:rsidP="00AC7ECA">
            <w:pPr>
              <w:pStyle w:val="TableColumnHeadingLeft"/>
            </w:pPr>
            <w:r w:rsidRPr="00AC7ECA">
              <w:t>Licen</w:t>
            </w:r>
            <w:r w:rsidR="00BD4FEC">
              <w:t>c</w:t>
            </w:r>
            <w:r w:rsidRPr="00AC7ECA">
              <w:t>e type and outcome</w:t>
            </w:r>
          </w:p>
        </w:tc>
        <w:tc>
          <w:tcPr>
            <w:tcW w:w="1053" w:type="dxa"/>
          </w:tcPr>
          <w:p w14:paraId="0C71A243" w14:textId="7A9CFE2B" w:rsidR="00AC7ECA" w:rsidRPr="00AC7ECA" w:rsidRDefault="00AC7ECA" w:rsidP="00AC7ECA">
            <w:pPr>
              <w:pStyle w:val="TableColumnHeadingRight"/>
              <w:jc w:val="center"/>
            </w:pPr>
            <w:r w:rsidRPr="00AC7ECA">
              <w:t>70% in 150 days</w:t>
            </w:r>
            <w:r>
              <w:br/>
            </w:r>
          </w:p>
          <w:p w14:paraId="7E6A8DFF" w14:textId="1BAF8F08" w:rsidR="00AC7ECA" w:rsidRPr="00AC7ECA" w:rsidRDefault="00AC7ECA" w:rsidP="00AC7ECA">
            <w:pPr>
              <w:pStyle w:val="TableColumnHeadingRight"/>
              <w:jc w:val="center"/>
            </w:pPr>
            <w:r w:rsidRPr="00AC7ECA">
              <w:t>(</w:t>
            </w:r>
            <w:r w:rsidR="00445933">
              <w:t>20</w:t>
            </w:r>
            <w:r w:rsidRPr="00AC7ECA">
              <w:t>18</w:t>
            </w:r>
            <w:r w:rsidR="00445933">
              <w:t>–</w:t>
            </w:r>
            <w:r w:rsidRPr="00AC7ECA">
              <w:t>19)</w:t>
            </w:r>
          </w:p>
        </w:tc>
        <w:tc>
          <w:tcPr>
            <w:tcW w:w="1053" w:type="dxa"/>
          </w:tcPr>
          <w:p w14:paraId="58D66F8A" w14:textId="2FEDDB32" w:rsidR="00AC7ECA" w:rsidRPr="00AC7ECA" w:rsidRDefault="00AC7ECA" w:rsidP="00AC7ECA">
            <w:pPr>
              <w:pStyle w:val="TableColumnHeadingRight"/>
              <w:jc w:val="center"/>
            </w:pPr>
            <w:r w:rsidRPr="00AC7ECA">
              <w:t>90% within 240 days</w:t>
            </w:r>
          </w:p>
          <w:p w14:paraId="3581DD5F" w14:textId="28EA4859" w:rsidR="00AC7ECA" w:rsidRPr="00AC7ECA" w:rsidRDefault="00AC7ECA" w:rsidP="00AC7ECA">
            <w:pPr>
              <w:pStyle w:val="TableColumnHeadingRight"/>
              <w:jc w:val="center"/>
            </w:pPr>
            <w:r w:rsidRPr="00AC7ECA">
              <w:t>(</w:t>
            </w:r>
            <w:r w:rsidR="00445933">
              <w:t>20</w:t>
            </w:r>
            <w:r w:rsidRPr="00AC7ECA">
              <w:t>18</w:t>
            </w:r>
            <w:r w:rsidR="00445933">
              <w:t>–</w:t>
            </w:r>
            <w:r w:rsidRPr="00AC7ECA">
              <w:t>19)</w:t>
            </w:r>
          </w:p>
        </w:tc>
        <w:tc>
          <w:tcPr>
            <w:tcW w:w="1054" w:type="dxa"/>
          </w:tcPr>
          <w:p w14:paraId="52164FFD" w14:textId="385B52BD" w:rsidR="00AC7ECA" w:rsidRPr="00AC7ECA" w:rsidRDefault="00AC7ECA" w:rsidP="00AC7ECA">
            <w:pPr>
              <w:pStyle w:val="TableColumnHeadingRight"/>
              <w:jc w:val="center"/>
            </w:pPr>
            <w:r w:rsidRPr="00AC7ECA">
              <w:t>70% in 150 days</w:t>
            </w:r>
            <w:r>
              <w:br/>
            </w:r>
          </w:p>
          <w:p w14:paraId="3D078BE1" w14:textId="3916DD70" w:rsidR="00AC7ECA" w:rsidRPr="00AC7ECA" w:rsidRDefault="00AC7ECA" w:rsidP="00AC7ECA">
            <w:pPr>
              <w:pStyle w:val="TableColumnHeadingRight"/>
              <w:jc w:val="center"/>
            </w:pPr>
            <w:r w:rsidRPr="00AC7ECA">
              <w:t>(</w:t>
            </w:r>
            <w:r w:rsidR="00445933">
              <w:t>20</w:t>
            </w:r>
            <w:r w:rsidRPr="00AC7ECA">
              <w:t>19</w:t>
            </w:r>
            <w:r w:rsidR="00445933">
              <w:t>–</w:t>
            </w:r>
            <w:r w:rsidRPr="00AC7ECA">
              <w:t>20)</w:t>
            </w:r>
          </w:p>
        </w:tc>
        <w:tc>
          <w:tcPr>
            <w:tcW w:w="1053" w:type="dxa"/>
          </w:tcPr>
          <w:p w14:paraId="658E10F3" w14:textId="77777777" w:rsidR="00AC7ECA" w:rsidRPr="00AC7ECA" w:rsidRDefault="00AC7ECA" w:rsidP="00AC7ECA">
            <w:pPr>
              <w:pStyle w:val="TableColumnHeadingRight"/>
              <w:jc w:val="center"/>
            </w:pPr>
            <w:r w:rsidRPr="00AC7ECA">
              <w:t>90% within 240 days</w:t>
            </w:r>
          </w:p>
          <w:p w14:paraId="162D2ECB" w14:textId="31603256" w:rsidR="00AC7ECA" w:rsidRPr="00AC7ECA" w:rsidRDefault="00AC7ECA" w:rsidP="00AC7ECA">
            <w:pPr>
              <w:pStyle w:val="TableColumnHeadingRight"/>
              <w:jc w:val="center"/>
            </w:pPr>
            <w:r w:rsidRPr="00AC7ECA">
              <w:t>(</w:t>
            </w:r>
            <w:r w:rsidR="00445933">
              <w:t>20</w:t>
            </w:r>
            <w:r w:rsidRPr="00AC7ECA">
              <w:t>19</w:t>
            </w:r>
            <w:r w:rsidR="00445933">
              <w:t>–</w:t>
            </w:r>
            <w:r w:rsidRPr="00AC7ECA">
              <w:t>20)</w:t>
            </w:r>
          </w:p>
        </w:tc>
        <w:tc>
          <w:tcPr>
            <w:tcW w:w="1053" w:type="dxa"/>
          </w:tcPr>
          <w:p w14:paraId="5E68E687" w14:textId="0BDF82E7" w:rsidR="00AC7ECA" w:rsidRPr="00AC7ECA" w:rsidRDefault="00AC7ECA" w:rsidP="00AC7ECA">
            <w:pPr>
              <w:pStyle w:val="TableColumnHeadingRight"/>
              <w:jc w:val="center"/>
            </w:pPr>
            <w:r w:rsidRPr="00AC7ECA">
              <w:t>70% in 150 days</w:t>
            </w:r>
            <w:r>
              <w:br/>
            </w:r>
          </w:p>
          <w:p w14:paraId="7960BF80" w14:textId="402C4147" w:rsidR="00AC7ECA" w:rsidRPr="00AC7ECA" w:rsidRDefault="00AC7ECA" w:rsidP="00AC7ECA">
            <w:pPr>
              <w:pStyle w:val="TableColumnHeadingRight"/>
              <w:jc w:val="center"/>
            </w:pPr>
            <w:r w:rsidRPr="00AC7ECA">
              <w:t>(</w:t>
            </w:r>
            <w:r w:rsidR="00445933">
              <w:t>20</w:t>
            </w:r>
            <w:r w:rsidRPr="00AC7ECA">
              <w:t>20</w:t>
            </w:r>
            <w:r w:rsidR="00445933">
              <w:t>–</w:t>
            </w:r>
            <w:r w:rsidRPr="00AC7ECA">
              <w:t>21)</w:t>
            </w:r>
          </w:p>
        </w:tc>
        <w:tc>
          <w:tcPr>
            <w:tcW w:w="1054" w:type="dxa"/>
          </w:tcPr>
          <w:p w14:paraId="0F9F9860" w14:textId="77777777" w:rsidR="00AC7ECA" w:rsidRPr="00AC7ECA" w:rsidRDefault="00AC7ECA" w:rsidP="00AC7ECA">
            <w:pPr>
              <w:pStyle w:val="TableColumnHeadingRight"/>
              <w:jc w:val="center"/>
            </w:pPr>
            <w:r w:rsidRPr="00AC7ECA">
              <w:t>90% within 240 days</w:t>
            </w:r>
          </w:p>
          <w:p w14:paraId="78A54C8D" w14:textId="71E7570C" w:rsidR="00AC7ECA" w:rsidRPr="00AC7ECA" w:rsidRDefault="00AC7ECA" w:rsidP="00AC7ECA">
            <w:pPr>
              <w:pStyle w:val="TableColumnHeadingRight"/>
              <w:jc w:val="center"/>
            </w:pPr>
            <w:r w:rsidRPr="00AC7ECA">
              <w:t>(</w:t>
            </w:r>
            <w:r w:rsidR="00445933">
              <w:t>20</w:t>
            </w:r>
            <w:r w:rsidRPr="00AC7ECA">
              <w:t>20</w:t>
            </w:r>
            <w:r w:rsidR="00445933">
              <w:t>–</w:t>
            </w:r>
            <w:r w:rsidRPr="00AC7ECA">
              <w:t>21)</w:t>
            </w:r>
          </w:p>
        </w:tc>
      </w:tr>
      <w:tr w:rsidR="00AC7ECA" w:rsidRPr="00AC7ECA" w14:paraId="65B83831" w14:textId="77777777" w:rsidTr="00B02E9E">
        <w:trPr>
          <w:cnfStyle w:val="000000100000" w:firstRow="0" w:lastRow="0" w:firstColumn="0" w:lastColumn="0" w:oddVBand="0" w:evenVBand="0" w:oddHBand="1" w:evenHBand="0" w:firstRowFirstColumn="0" w:firstRowLastColumn="0" w:lastRowFirstColumn="0" w:lastRowLastColumn="0"/>
        </w:trPr>
        <w:tc>
          <w:tcPr>
            <w:tcW w:w="2179" w:type="dxa"/>
          </w:tcPr>
          <w:p w14:paraId="7B03964F" w14:textId="08535142" w:rsidR="00AC7ECA" w:rsidRPr="00AC7ECA" w:rsidRDefault="00AC7ECA" w:rsidP="00AC7ECA">
            <w:pPr>
              <w:spacing w:before="40" w:after="40"/>
              <w:rPr>
                <w:color w:val="000000"/>
                <w:sz w:val="18"/>
              </w:rPr>
            </w:pPr>
            <w:r>
              <w:rPr>
                <w:color w:val="000000"/>
                <w:sz w:val="18"/>
              </w:rPr>
              <w:t>AFSL</w:t>
            </w:r>
            <w:r w:rsidRPr="00AC7ECA">
              <w:rPr>
                <w:color w:val="000000"/>
                <w:sz w:val="18"/>
              </w:rPr>
              <w:t xml:space="preserve"> – New</w:t>
            </w:r>
          </w:p>
        </w:tc>
        <w:tc>
          <w:tcPr>
            <w:tcW w:w="1053" w:type="dxa"/>
            <w:vAlign w:val="center"/>
          </w:tcPr>
          <w:p w14:paraId="53AA4E4F" w14:textId="4D5DC64A" w:rsidR="00AC7ECA" w:rsidRP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7E4C3A85" wp14:editId="248703AF">
                  <wp:extent cx="211863" cy="216000"/>
                  <wp:effectExtent l="0" t="0" r="0" b="0"/>
                  <wp:docPr id="30" name="Picture 30" descr="Figure 5.5 is a table that displays the outcome of whether AFSL (new or variation) and ACL (new or variation) performance targets of “70% in 150 days” or “90% in 240 days” were met in 2018-19, 2019-20 and 2020-21. &#10;The top row sets out 7 columns. The first column is titled “Licence type and outcome”. The second column is titled “70% in 150 days (2018-19)”. The third column is titled “90% in 240 days (2018-19)”. The fourth column is titled “70% in 150 days (2019-20)”. The fifth column is titled “90% in 240 days (2019-20)”. The sixth column is titled “70% in 150 days (2020-21)”. The seventh column is titled “90% in 240 days (2020-21)”. &#10;Under the first column, below “Licence type and outcome”, the second row is titled “AFSL – new”. The third row is titled “AFSL – variation”. The fourth row is titled “ACL – new”. The fifth row is titled “ACL – variation”. The remainder of the columns and rows are populated by a tick symbol in a green circle to show where performance was met. Where performance was not met, this is shown by a cross symbol in a blue circle and percentage immediately below the symbol. There are 3 instances where ASIC did not meet the Service Charter Standards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5.5 is a table that displays the outcome of whether AFSL (new or variation) and ACL (new or variation) performance targets of “70% in 150 days” or “90% in 240 days” were met in 2018-19, 2019-20 and 2020-21. &#10;The top row sets out 7 columns. The first column is titled “Licence type and outcome”. The second column is titled “70% in 150 days (2018-19)”. The third column is titled “90% in 240 days (2018-19)”. The fourth column is titled “70% in 150 days (2019-20)”. The fifth column is titled “90% in 240 days (2019-20)”. The sixth column is titled “70% in 150 days (2020-21)”. The seventh column is titled “90% in 240 days (2020-21)”. &#10;Under the first column, below “Licence type and outcome”, the second row is titled “AFSL – new”. The third row is titled “AFSL – variation”. The fourth row is titled “ACL – new”. The fifth row is titled “ACL – variation”. The remainder of the columns and rows are populated by a tick symbol in a green circle to show where performance was met. Where performance was not met, this is shown by a cross symbol in a blue circle and percentage immediately below the symbol. There are 3 instances where ASIC did not meet the Service Charter Standards over this perio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3" cy="216000"/>
                          </a:xfrm>
                          <a:prstGeom prst="rect">
                            <a:avLst/>
                          </a:prstGeom>
                          <a:noFill/>
                          <a:ln>
                            <a:noFill/>
                          </a:ln>
                        </pic:spPr>
                      </pic:pic>
                    </a:graphicData>
                  </a:graphic>
                </wp:inline>
              </w:drawing>
            </w:r>
          </w:p>
        </w:tc>
        <w:tc>
          <w:tcPr>
            <w:tcW w:w="1053" w:type="dxa"/>
            <w:vAlign w:val="center"/>
          </w:tcPr>
          <w:p w14:paraId="52E0AE9B" w14:textId="77777777" w:rsid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11898F4F" wp14:editId="0DC4DC32">
                  <wp:extent cx="180000" cy="185526"/>
                  <wp:effectExtent l="0" t="0" r="0" b="508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00" cy="185526"/>
                          </a:xfrm>
                          <a:prstGeom prst="rect">
                            <a:avLst/>
                          </a:prstGeom>
                          <a:noFill/>
                          <a:ln>
                            <a:noFill/>
                          </a:ln>
                        </pic:spPr>
                      </pic:pic>
                    </a:graphicData>
                  </a:graphic>
                </wp:inline>
              </w:drawing>
            </w:r>
          </w:p>
          <w:p w14:paraId="478AFF0C" w14:textId="2E000C32" w:rsidR="00AC7ECA" w:rsidRPr="00AC7ECA" w:rsidRDefault="00AC7ECA" w:rsidP="00AC7ECA">
            <w:pPr>
              <w:spacing w:before="0" w:after="0"/>
              <w:jc w:val="center"/>
              <w:rPr>
                <w:rFonts w:asciiTheme="minorHAnsi" w:hAnsiTheme="minorHAnsi" w:cstheme="minorHAnsi"/>
                <w:sz w:val="18"/>
                <w:szCs w:val="18"/>
              </w:rPr>
            </w:pPr>
            <w:r>
              <w:rPr>
                <w:rFonts w:asciiTheme="minorHAnsi" w:hAnsiTheme="minorHAnsi" w:cstheme="minorHAnsi"/>
                <w:sz w:val="18"/>
                <w:szCs w:val="18"/>
              </w:rPr>
              <w:t>86%</w:t>
            </w:r>
          </w:p>
        </w:tc>
        <w:tc>
          <w:tcPr>
            <w:tcW w:w="1054" w:type="dxa"/>
            <w:vAlign w:val="center"/>
          </w:tcPr>
          <w:p w14:paraId="3A673ABD" w14:textId="27BAE02A" w:rsidR="00AC7ECA" w:rsidRPr="00AC7ECA" w:rsidRDefault="001655A9"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47366195" wp14:editId="7B0732AE">
                  <wp:extent cx="211864" cy="21600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4" cy="216000"/>
                          </a:xfrm>
                          <a:prstGeom prst="rect">
                            <a:avLst/>
                          </a:prstGeom>
                          <a:noFill/>
                          <a:ln>
                            <a:noFill/>
                          </a:ln>
                        </pic:spPr>
                      </pic:pic>
                    </a:graphicData>
                  </a:graphic>
                </wp:inline>
              </w:drawing>
            </w:r>
          </w:p>
        </w:tc>
        <w:tc>
          <w:tcPr>
            <w:tcW w:w="1053" w:type="dxa"/>
            <w:vAlign w:val="center"/>
          </w:tcPr>
          <w:p w14:paraId="61FF7883" w14:textId="77777777" w:rsid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6F81D310" wp14:editId="68E87D8B">
                  <wp:extent cx="180000" cy="185526"/>
                  <wp:effectExtent l="0" t="0" r="0" b="508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00" cy="185526"/>
                          </a:xfrm>
                          <a:prstGeom prst="rect">
                            <a:avLst/>
                          </a:prstGeom>
                          <a:noFill/>
                          <a:ln>
                            <a:noFill/>
                          </a:ln>
                        </pic:spPr>
                      </pic:pic>
                    </a:graphicData>
                  </a:graphic>
                </wp:inline>
              </w:drawing>
            </w:r>
          </w:p>
          <w:p w14:paraId="25453429" w14:textId="00D7EEA4" w:rsidR="001655A9" w:rsidRPr="00AC7ECA" w:rsidRDefault="001655A9" w:rsidP="00AC7ECA">
            <w:pPr>
              <w:spacing w:before="0" w:after="0"/>
              <w:jc w:val="center"/>
              <w:rPr>
                <w:rFonts w:asciiTheme="minorHAnsi" w:hAnsiTheme="minorHAnsi" w:cstheme="minorHAnsi"/>
                <w:sz w:val="18"/>
                <w:szCs w:val="18"/>
              </w:rPr>
            </w:pPr>
            <w:r>
              <w:rPr>
                <w:rFonts w:asciiTheme="minorHAnsi" w:hAnsiTheme="minorHAnsi" w:cstheme="minorHAnsi"/>
                <w:sz w:val="18"/>
                <w:szCs w:val="18"/>
              </w:rPr>
              <w:t>89%</w:t>
            </w:r>
          </w:p>
        </w:tc>
        <w:tc>
          <w:tcPr>
            <w:tcW w:w="1053" w:type="dxa"/>
            <w:vAlign w:val="center"/>
          </w:tcPr>
          <w:p w14:paraId="6AEED804" w14:textId="77777777" w:rsidR="00AC7ECA" w:rsidRP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0885668D" wp14:editId="3A25A614">
                  <wp:extent cx="211864" cy="21600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4" cy="216000"/>
                          </a:xfrm>
                          <a:prstGeom prst="rect">
                            <a:avLst/>
                          </a:prstGeom>
                          <a:noFill/>
                          <a:ln>
                            <a:noFill/>
                          </a:ln>
                        </pic:spPr>
                      </pic:pic>
                    </a:graphicData>
                  </a:graphic>
                </wp:inline>
              </w:drawing>
            </w:r>
          </w:p>
        </w:tc>
        <w:tc>
          <w:tcPr>
            <w:tcW w:w="1054" w:type="dxa"/>
            <w:vAlign w:val="center"/>
          </w:tcPr>
          <w:p w14:paraId="67E20A76" w14:textId="77777777" w:rsidR="00AC7ECA" w:rsidRP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41E96ABA" wp14:editId="52A464C6">
                  <wp:extent cx="211864" cy="21600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4" cy="216000"/>
                          </a:xfrm>
                          <a:prstGeom prst="rect">
                            <a:avLst/>
                          </a:prstGeom>
                          <a:noFill/>
                          <a:ln>
                            <a:noFill/>
                          </a:ln>
                        </pic:spPr>
                      </pic:pic>
                    </a:graphicData>
                  </a:graphic>
                </wp:inline>
              </w:drawing>
            </w:r>
          </w:p>
        </w:tc>
      </w:tr>
      <w:tr w:rsidR="00AC7ECA" w:rsidRPr="00AC7ECA" w14:paraId="3024EBDE" w14:textId="77777777" w:rsidTr="00B02E9E">
        <w:tc>
          <w:tcPr>
            <w:tcW w:w="2179" w:type="dxa"/>
          </w:tcPr>
          <w:p w14:paraId="67509C25" w14:textId="03AF2B04" w:rsidR="00AC7ECA" w:rsidRPr="00AC7ECA" w:rsidRDefault="00AC7ECA" w:rsidP="00AC7ECA">
            <w:pPr>
              <w:spacing w:before="40" w:after="40"/>
              <w:rPr>
                <w:color w:val="000000"/>
                <w:sz w:val="18"/>
              </w:rPr>
            </w:pPr>
            <w:r>
              <w:rPr>
                <w:color w:val="000000"/>
                <w:sz w:val="18"/>
              </w:rPr>
              <w:t>AFSL</w:t>
            </w:r>
            <w:r w:rsidRPr="00AC7ECA">
              <w:rPr>
                <w:color w:val="000000"/>
                <w:sz w:val="18"/>
              </w:rPr>
              <w:t xml:space="preserve"> – Variation</w:t>
            </w:r>
          </w:p>
        </w:tc>
        <w:tc>
          <w:tcPr>
            <w:tcW w:w="1053" w:type="dxa"/>
            <w:vAlign w:val="center"/>
          </w:tcPr>
          <w:p w14:paraId="1A832A4F" w14:textId="77777777" w:rsidR="00AC7ECA" w:rsidRP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2DC469B4" wp14:editId="382D4704">
                  <wp:extent cx="211864" cy="2160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4" cy="216000"/>
                          </a:xfrm>
                          <a:prstGeom prst="rect">
                            <a:avLst/>
                          </a:prstGeom>
                          <a:noFill/>
                          <a:ln>
                            <a:noFill/>
                          </a:ln>
                        </pic:spPr>
                      </pic:pic>
                    </a:graphicData>
                  </a:graphic>
                </wp:inline>
              </w:drawing>
            </w:r>
          </w:p>
        </w:tc>
        <w:tc>
          <w:tcPr>
            <w:tcW w:w="1053" w:type="dxa"/>
            <w:vAlign w:val="center"/>
          </w:tcPr>
          <w:p w14:paraId="34FADDA2" w14:textId="77777777" w:rsidR="00AC7ECA" w:rsidRP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296143B2" wp14:editId="796D8836">
                  <wp:extent cx="211864" cy="216000"/>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4" cy="216000"/>
                          </a:xfrm>
                          <a:prstGeom prst="rect">
                            <a:avLst/>
                          </a:prstGeom>
                          <a:noFill/>
                          <a:ln>
                            <a:noFill/>
                          </a:ln>
                        </pic:spPr>
                      </pic:pic>
                    </a:graphicData>
                  </a:graphic>
                </wp:inline>
              </w:drawing>
            </w:r>
          </w:p>
        </w:tc>
        <w:tc>
          <w:tcPr>
            <w:tcW w:w="1054" w:type="dxa"/>
            <w:vAlign w:val="center"/>
          </w:tcPr>
          <w:p w14:paraId="17156DE4" w14:textId="77777777" w:rsidR="00AC7ECA" w:rsidRP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1A3DE8B3" wp14:editId="1CCC3C7F">
                  <wp:extent cx="211864" cy="21600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4" cy="216000"/>
                          </a:xfrm>
                          <a:prstGeom prst="rect">
                            <a:avLst/>
                          </a:prstGeom>
                          <a:noFill/>
                          <a:ln>
                            <a:noFill/>
                          </a:ln>
                        </pic:spPr>
                      </pic:pic>
                    </a:graphicData>
                  </a:graphic>
                </wp:inline>
              </w:drawing>
            </w:r>
          </w:p>
        </w:tc>
        <w:tc>
          <w:tcPr>
            <w:tcW w:w="1053" w:type="dxa"/>
            <w:vAlign w:val="center"/>
          </w:tcPr>
          <w:p w14:paraId="6F6C64C7" w14:textId="77777777" w:rsid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3FF4DD7F" wp14:editId="6D007F74">
                  <wp:extent cx="180000" cy="185526"/>
                  <wp:effectExtent l="0" t="0" r="0" b="508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00" cy="185526"/>
                          </a:xfrm>
                          <a:prstGeom prst="rect">
                            <a:avLst/>
                          </a:prstGeom>
                          <a:noFill/>
                          <a:ln>
                            <a:noFill/>
                          </a:ln>
                        </pic:spPr>
                      </pic:pic>
                    </a:graphicData>
                  </a:graphic>
                </wp:inline>
              </w:drawing>
            </w:r>
          </w:p>
          <w:p w14:paraId="2C2575BB" w14:textId="3B2C1E12" w:rsidR="001655A9" w:rsidRPr="00AC7ECA" w:rsidRDefault="001655A9" w:rsidP="00AC7ECA">
            <w:pPr>
              <w:spacing w:before="0" w:after="0"/>
              <w:jc w:val="center"/>
              <w:rPr>
                <w:rFonts w:asciiTheme="minorHAnsi" w:hAnsiTheme="minorHAnsi" w:cstheme="minorHAnsi"/>
                <w:sz w:val="18"/>
                <w:szCs w:val="18"/>
              </w:rPr>
            </w:pPr>
            <w:r>
              <w:rPr>
                <w:rFonts w:asciiTheme="minorHAnsi" w:hAnsiTheme="minorHAnsi" w:cstheme="minorHAnsi"/>
                <w:sz w:val="18"/>
                <w:szCs w:val="18"/>
              </w:rPr>
              <w:t>88%</w:t>
            </w:r>
          </w:p>
        </w:tc>
        <w:tc>
          <w:tcPr>
            <w:tcW w:w="1053" w:type="dxa"/>
            <w:vAlign w:val="center"/>
          </w:tcPr>
          <w:p w14:paraId="34225FBA" w14:textId="77777777" w:rsidR="00AC7ECA" w:rsidRP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13C83CC9" wp14:editId="1D67051E">
                  <wp:extent cx="211864" cy="2160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4" cy="216000"/>
                          </a:xfrm>
                          <a:prstGeom prst="rect">
                            <a:avLst/>
                          </a:prstGeom>
                          <a:noFill/>
                          <a:ln>
                            <a:noFill/>
                          </a:ln>
                        </pic:spPr>
                      </pic:pic>
                    </a:graphicData>
                  </a:graphic>
                </wp:inline>
              </w:drawing>
            </w:r>
          </w:p>
        </w:tc>
        <w:tc>
          <w:tcPr>
            <w:tcW w:w="1054" w:type="dxa"/>
            <w:vAlign w:val="center"/>
          </w:tcPr>
          <w:p w14:paraId="4490948F" w14:textId="77777777" w:rsid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78D297F9" wp14:editId="3858760F">
                  <wp:extent cx="180000" cy="185526"/>
                  <wp:effectExtent l="0" t="0" r="0" b="508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00" cy="185526"/>
                          </a:xfrm>
                          <a:prstGeom prst="rect">
                            <a:avLst/>
                          </a:prstGeom>
                          <a:noFill/>
                          <a:ln>
                            <a:noFill/>
                          </a:ln>
                        </pic:spPr>
                      </pic:pic>
                    </a:graphicData>
                  </a:graphic>
                </wp:inline>
              </w:drawing>
            </w:r>
          </w:p>
          <w:p w14:paraId="25BF1F6A" w14:textId="71617776" w:rsidR="001655A9" w:rsidRPr="00AC7ECA" w:rsidRDefault="001655A9" w:rsidP="00AC7ECA">
            <w:pPr>
              <w:spacing w:before="0" w:after="0"/>
              <w:jc w:val="center"/>
              <w:rPr>
                <w:rFonts w:asciiTheme="minorHAnsi" w:hAnsiTheme="minorHAnsi" w:cstheme="minorHAnsi"/>
                <w:sz w:val="18"/>
                <w:szCs w:val="18"/>
              </w:rPr>
            </w:pPr>
            <w:r>
              <w:rPr>
                <w:rFonts w:asciiTheme="minorHAnsi" w:hAnsiTheme="minorHAnsi" w:cstheme="minorHAnsi"/>
                <w:sz w:val="18"/>
                <w:szCs w:val="18"/>
              </w:rPr>
              <w:t>88%</w:t>
            </w:r>
          </w:p>
        </w:tc>
      </w:tr>
      <w:tr w:rsidR="00AC7ECA" w:rsidRPr="00AC7ECA" w14:paraId="3EA6602B" w14:textId="77777777" w:rsidTr="00B02E9E">
        <w:trPr>
          <w:cnfStyle w:val="000000100000" w:firstRow="0" w:lastRow="0" w:firstColumn="0" w:lastColumn="0" w:oddVBand="0" w:evenVBand="0" w:oddHBand="1" w:evenHBand="0" w:firstRowFirstColumn="0" w:firstRowLastColumn="0" w:lastRowFirstColumn="0" w:lastRowLastColumn="0"/>
        </w:trPr>
        <w:tc>
          <w:tcPr>
            <w:tcW w:w="2179" w:type="dxa"/>
          </w:tcPr>
          <w:p w14:paraId="13796CA2" w14:textId="549BD85F" w:rsidR="00AC7ECA" w:rsidRPr="00AC7ECA" w:rsidRDefault="00AC7ECA" w:rsidP="00AC7ECA">
            <w:pPr>
              <w:spacing w:before="40" w:after="40"/>
              <w:rPr>
                <w:color w:val="000000"/>
                <w:sz w:val="18"/>
              </w:rPr>
            </w:pPr>
            <w:r>
              <w:rPr>
                <w:color w:val="000000"/>
                <w:sz w:val="18"/>
              </w:rPr>
              <w:t>ACL</w:t>
            </w:r>
            <w:r w:rsidRPr="00AC7ECA">
              <w:rPr>
                <w:color w:val="000000"/>
                <w:sz w:val="18"/>
              </w:rPr>
              <w:t xml:space="preserve"> – New</w:t>
            </w:r>
          </w:p>
        </w:tc>
        <w:tc>
          <w:tcPr>
            <w:tcW w:w="1053" w:type="dxa"/>
            <w:vAlign w:val="center"/>
          </w:tcPr>
          <w:p w14:paraId="3449332E" w14:textId="77777777" w:rsidR="00AC7ECA" w:rsidRP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73910A9B" wp14:editId="0EBFF900">
                  <wp:extent cx="211864" cy="2160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4" cy="216000"/>
                          </a:xfrm>
                          <a:prstGeom prst="rect">
                            <a:avLst/>
                          </a:prstGeom>
                          <a:noFill/>
                          <a:ln>
                            <a:noFill/>
                          </a:ln>
                        </pic:spPr>
                      </pic:pic>
                    </a:graphicData>
                  </a:graphic>
                </wp:inline>
              </w:drawing>
            </w:r>
          </w:p>
        </w:tc>
        <w:tc>
          <w:tcPr>
            <w:tcW w:w="1053" w:type="dxa"/>
            <w:vAlign w:val="center"/>
          </w:tcPr>
          <w:p w14:paraId="773D4B9E" w14:textId="77777777" w:rsidR="00AC7ECA" w:rsidRP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1C84DDA8" wp14:editId="4C9B6A21">
                  <wp:extent cx="211864" cy="2160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4" cy="216000"/>
                          </a:xfrm>
                          <a:prstGeom prst="rect">
                            <a:avLst/>
                          </a:prstGeom>
                          <a:noFill/>
                          <a:ln>
                            <a:noFill/>
                          </a:ln>
                        </pic:spPr>
                      </pic:pic>
                    </a:graphicData>
                  </a:graphic>
                </wp:inline>
              </w:drawing>
            </w:r>
          </w:p>
        </w:tc>
        <w:tc>
          <w:tcPr>
            <w:tcW w:w="1054" w:type="dxa"/>
            <w:vAlign w:val="center"/>
          </w:tcPr>
          <w:p w14:paraId="058AD96C" w14:textId="77777777" w:rsidR="00AC7ECA" w:rsidRP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76F34281" wp14:editId="09CC91BD">
                  <wp:extent cx="211864" cy="2160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4" cy="216000"/>
                          </a:xfrm>
                          <a:prstGeom prst="rect">
                            <a:avLst/>
                          </a:prstGeom>
                          <a:noFill/>
                          <a:ln>
                            <a:noFill/>
                          </a:ln>
                        </pic:spPr>
                      </pic:pic>
                    </a:graphicData>
                  </a:graphic>
                </wp:inline>
              </w:drawing>
            </w:r>
          </w:p>
        </w:tc>
        <w:tc>
          <w:tcPr>
            <w:tcW w:w="1053" w:type="dxa"/>
            <w:vAlign w:val="center"/>
          </w:tcPr>
          <w:p w14:paraId="3AC3C2CD" w14:textId="77777777" w:rsidR="00AC7ECA" w:rsidRP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7E52E344" wp14:editId="63F0167E">
                  <wp:extent cx="211864" cy="2160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4" cy="216000"/>
                          </a:xfrm>
                          <a:prstGeom prst="rect">
                            <a:avLst/>
                          </a:prstGeom>
                          <a:noFill/>
                          <a:ln>
                            <a:noFill/>
                          </a:ln>
                        </pic:spPr>
                      </pic:pic>
                    </a:graphicData>
                  </a:graphic>
                </wp:inline>
              </w:drawing>
            </w:r>
          </w:p>
        </w:tc>
        <w:tc>
          <w:tcPr>
            <w:tcW w:w="1053" w:type="dxa"/>
            <w:vAlign w:val="center"/>
          </w:tcPr>
          <w:p w14:paraId="0314FFA7" w14:textId="77777777" w:rsidR="00AC7ECA" w:rsidRP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1FBDD42C" wp14:editId="4AF65094">
                  <wp:extent cx="211864" cy="2160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4" cy="216000"/>
                          </a:xfrm>
                          <a:prstGeom prst="rect">
                            <a:avLst/>
                          </a:prstGeom>
                          <a:noFill/>
                          <a:ln>
                            <a:noFill/>
                          </a:ln>
                        </pic:spPr>
                      </pic:pic>
                    </a:graphicData>
                  </a:graphic>
                </wp:inline>
              </w:drawing>
            </w:r>
          </w:p>
        </w:tc>
        <w:tc>
          <w:tcPr>
            <w:tcW w:w="1054" w:type="dxa"/>
            <w:vAlign w:val="center"/>
          </w:tcPr>
          <w:p w14:paraId="57A06097" w14:textId="77777777" w:rsidR="00AC7ECA" w:rsidRP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0C36CF04" wp14:editId="320BF273">
                  <wp:extent cx="211864" cy="2160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4" cy="216000"/>
                          </a:xfrm>
                          <a:prstGeom prst="rect">
                            <a:avLst/>
                          </a:prstGeom>
                          <a:noFill/>
                          <a:ln>
                            <a:noFill/>
                          </a:ln>
                        </pic:spPr>
                      </pic:pic>
                    </a:graphicData>
                  </a:graphic>
                </wp:inline>
              </w:drawing>
            </w:r>
          </w:p>
        </w:tc>
      </w:tr>
      <w:tr w:rsidR="00AC7ECA" w:rsidRPr="00AC7ECA" w14:paraId="19EB98A9" w14:textId="77777777" w:rsidTr="00B02E9E">
        <w:tc>
          <w:tcPr>
            <w:tcW w:w="2179" w:type="dxa"/>
          </w:tcPr>
          <w:p w14:paraId="0FC41DE7" w14:textId="1C25A214" w:rsidR="00AC7ECA" w:rsidRPr="00AC7ECA" w:rsidRDefault="00AC7ECA" w:rsidP="00AC7ECA">
            <w:pPr>
              <w:spacing w:before="40" w:after="40"/>
              <w:rPr>
                <w:color w:val="000000"/>
                <w:sz w:val="18"/>
              </w:rPr>
            </w:pPr>
            <w:r>
              <w:rPr>
                <w:color w:val="000000"/>
                <w:sz w:val="18"/>
              </w:rPr>
              <w:t>ACL</w:t>
            </w:r>
            <w:r w:rsidR="00C606AD">
              <w:rPr>
                <w:color w:val="000000"/>
                <w:sz w:val="18"/>
              </w:rPr>
              <w:t xml:space="preserve"> – </w:t>
            </w:r>
            <w:r w:rsidRPr="00AC7ECA">
              <w:rPr>
                <w:color w:val="000000"/>
                <w:sz w:val="18"/>
              </w:rPr>
              <w:t>Variation</w:t>
            </w:r>
          </w:p>
        </w:tc>
        <w:tc>
          <w:tcPr>
            <w:tcW w:w="1053" w:type="dxa"/>
            <w:vAlign w:val="center"/>
          </w:tcPr>
          <w:p w14:paraId="71BBD6F2" w14:textId="77777777" w:rsidR="00AC7ECA" w:rsidRP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6878F000" wp14:editId="0A49A3A4">
                  <wp:extent cx="211864" cy="2160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4" cy="216000"/>
                          </a:xfrm>
                          <a:prstGeom prst="rect">
                            <a:avLst/>
                          </a:prstGeom>
                          <a:noFill/>
                          <a:ln>
                            <a:noFill/>
                          </a:ln>
                        </pic:spPr>
                      </pic:pic>
                    </a:graphicData>
                  </a:graphic>
                </wp:inline>
              </w:drawing>
            </w:r>
          </w:p>
        </w:tc>
        <w:tc>
          <w:tcPr>
            <w:tcW w:w="1053" w:type="dxa"/>
            <w:vAlign w:val="center"/>
          </w:tcPr>
          <w:p w14:paraId="4E31EC50" w14:textId="77777777" w:rsidR="00AC7ECA" w:rsidRP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399C52F9" wp14:editId="71E5418E">
                  <wp:extent cx="211864" cy="2160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4" cy="216000"/>
                          </a:xfrm>
                          <a:prstGeom prst="rect">
                            <a:avLst/>
                          </a:prstGeom>
                          <a:noFill/>
                          <a:ln>
                            <a:noFill/>
                          </a:ln>
                        </pic:spPr>
                      </pic:pic>
                    </a:graphicData>
                  </a:graphic>
                </wp:inline>
              </w:drawing>
            </w:r>
          </w:p>
        </w:tc>
        <w:tc>
          <w:tcPr>
            <w:tcW w:w="1054" w:type="dxa"/>
            <w:vAlign w:val="center"/>
          </w:tcPr>
          <w:p w14:paraId="6C439034" w14:textId="77777777" w:rsidR="00AC7ECA" w:rsidRP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4035D766" wp14:editId="4400DAB2">
                  <wp:extent cx="211864" cy="21600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4" cy="216000"/>
                          </a:xfrm>
                          <a:prstGeom prst="rect">
                            <a:avLst/>
                          </a:prstGeom>
                          <a:noFill/>
                          <a:ln>
                            <a:noFill/>
                          </a:ln>
                        </pic:spPr>
                      </pic:pic>
                    </a:graphicData>
                  </a:graphic>
                </wp:inline>
              </w:drawing>
            </w:r>
          </w:p>
        </w:tc>
        <w:tc>
          <w:tcPr>
            <w:tcW w:w="1053" w:type="dxa"/>
            <w:vAlign w:val="center"/>
          </w:tcPr>
          <w:p w14:paraId="76FFFE3E" w14:textId="77777777" w:rsidR="00AC7ECA" w:rsidRP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3280225E" wp14:editId="29B571E8">
                  <wp:extent cx="211864" cy="21600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4" cy="216000"/>
                          </a:xfrm>
                          <a:prstGeom prst="rect">
                            <a:avLst/>
                          </a:prstGeom>
                          <a:noFill/>
                          <a:ln>
                            <a:noFill/>
                          </a:ln>
                        </pic:spPr>
                      </pic:pic>
                    </a:graphicData>
                  </a:graphic>
                </wp:inline>
              </w:drawing>
            </w:r>
          </w:p>
        </w:tc>
        <w:tc>
          <w:tcPr>
            <w:tcW w:w="1053" w:type="dxa"/>
            <w:vAlign w:val="center"/>
          </w:tcPr>
          <w:p w14:paraId="55C98B54" w14:textId="77777777" w:rsidR="00AC7ECA" w:rsidRP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0F52D5CB" wp14:editId="6E844A90">
                  <wp:extent cx="211864" cy="21600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4" cy="216000"/>
                          </a:xfrm>
                          <a:prstGeom prst="rect">
                            <a:avLst/>
                          </a:prstGeom>
                          <a:noFill/>
                          <a:ln>
                            <a:noFill/>
                          </a:ln>
                        </pic:spPr>
                      </pic:pic>
                    </a:graphicData>
                  </a:graphic>
                </wp:inline>
              </w:drawing>
            </w:r>
          </w:p>
        </w:tc>
        <w:tc>
          <w:tcPr>
            <w:tcW w:w="1054" w:type="dxa"/>
            <w:vAlign w:val="center"/>
          </w:tcPr>
          <w:p w14:paraId="2FF30AA1" w14:textId="77777777" w:rsidR="00AC7ECA" w:rsidRPr="00AC7ECA" w:rsidRDefault="00AC7ECA" w:rsidP="00AC7ECA">
            <w:pPr>
              <w:spacing w:before="0" w:after="0"/>
              <w:jc w:val="center"/>
              <w:rPr>
                <w:rFonts w:asciiTheme="minorHAnsi" w:hAnsiTheme="minorHAnsi" w:cstheme="minorHAnsi"/>
                <w:sz w:val="18"/>
                <w:szCs w:val="18"/>
              </w:rPr>
            </w:pPr>
            <w:r w:rsidRPr="00AC7ECA">
              <w:rPr>
                <w:rFonts w:asciiTheme="minorHAnsi" w:hAnsiTheme="minorHAnsi" w:cstheme="minorHAnsi"/>
                <w:noProof/>
                <w:sz w:val="18"/>
                <w:szCs w:val="18"/>
              </w:rPr>
              <w:drawing>
                <wp:inline distT="0" distB="0" distL="0" distR="0" wp14:anchorId="7E24B407" wp14:editId="2BEB770E">
                  <wp:extent cx="211864" cy="21600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864" cy="216000"/>
                          </a:xfrm>
                          <a:prstGeom prst="rect">
                            <a:avLst/>
                          </a:prstGeom>
                          <a:noFill/>
                          <a:ln>
                            <a:noFill/>
                          </a:ln>
                        </pic:spPr>
                      </pic:pic>
                    </a:graphicData>
                  </a:graphic>
                </wp:inline>
              </w:drawing>
            </w:r>
          </w:p>
        </w:tc>
      </w:tr>
    </w:tbl>
    <w:p w14:paraId="088AFE36" w14:textId="2D585346" w:rsidR="00AC7ECA" w:rsidRDefault="001655A9" w:rsidP="003D082A">
      <w:pPr>
        <w:pStyle w:val="Source"/>
        <w:spacing w:after="480"/>
      </w:pPr>
      <w:r w:rsidRPr="00997226">
        <w:t>Source</w:t>
      </w:r>
      <w:r>
        <w:t xml:space="preserve">: </w:t>
      </w:r>
      <w:r w:rsidRPr="00F238AA">
        <w:t xml:space="preserve">ASIC, </w:t>
      </w:r>
      <w:r w:rsidRPr="00861891">
        <w:t>Material supplied to th</w:t>
      </w:r>
      <w:r w:rsidR="00FA5CA0" w:rsidRPr="00861891">
        <w:t>is</w:t>
      </w:r>
      <w:r w:rsidRPr="00861891">
        <w:t xml:space="preserve"> </w:t>
      </w:r>
      <w:r w:rsidR="005D42B0" w:rsidRPr="00861891">
        <w:t>r</w:t>
      </w:r>
      <w:r w:rsidRPr="00861891">
        <w:t>eview</w:t>
      </w:r>
      <w:r w:rsidR="00FA5CA0" w:rsidRPr="00861891">
        <w:t>,</w:t>
      </w:r>
      <w:r w:rsidR="00FA5CA0">
        <w:rPr>
          <w:i/>
          <w:iCs/>
        </w:rPr>
        <w:t xml:space="preserve"> </w:t>
      </w:r>
      <w:r w:rsidR="00FA5CA0">
        <w:t>2022.</w:t>
      </w:r>
    </w:p>
    <w:p w14:paraId="6BBC9FD4" w14:textId="01A75F70" w:rsidR="00A02457" w:rsidRPr="00736812" w:rsidRDefault="00A02457" w:rsidP="0015643C">
      <w:pPr>
        <w:pStyle w:val="Heading4"/>
      </w:pPr>
      <w:r w:rsidRPr="00736812">
        <w:t>Triage process</w:t>
      </w:r>
    </w:p>
    <w:p w14:paraId="3E4C68F9" w14:textId="7FB7D67A" w:rsidR="00A02457" w:rsidRPr="008929AF" w:rsidRDefault="00A02457" w:rsidP="00975036">
      <w:pPr>
        <w:pStyle w:val="numberedtext"/>
        <w:numPr>
          <w:ilvl w:val="0"/>
          <w:numId w:val="24"/>
        </w:numPr>
        <w:rPr>
          <w:rFonts w:cstheme="minorHAnsi"/>
        </w:rPr>
      </w:pPr>
      <w:r w:rsidRPr="008929AF">
        <w:rPr>
          <w:rFonts w:cstheme="minorHAnsi"/>
        </w:rPr>
        <w:t>ASIC</w:t>
      </w:r>
      <w:r w:rsidR="00EF40B0">
        <w:rPr>
          <w:rFonts w:cstheme="minorHAnsi"/>
        </w:rPr>
        <w:t>’</w:t>
      </w:r>
      <w:r w:rsidRPr="008929AF">
        <w:rPr>
          <w:rFonts w:cstheme="minorHAnsi"/>
        </w:rPr>
        <w:t>s licensing team has a triage process, where low</w:t>
      </w:r>
      <w:r w:rsidR="00EF40B0">
        <w:rPr>
          <w:rFonts w:cstheme="minorHAnsi"/>
        </w:rPr>
        <w:noBreakHyphen/>
      </w:r>
      <w:r w:rsidRPr="008929AF">
        <w:rPr>
          <w:rFonts w:cstheme="minorHAnsi"/>
        </w:rPr>
        <w:t>risk applications have a lower level of assessment and are therefore able to be processed faster.</w:t>
      </w:r>
      <w:r w:rsidRPr="008929AF">
        <w:rPr>
          <w:rStyle w:val="FootnoteReference"/>
        </w:rPr>
        <w:footnoteReference w:id="161"/>
      </w:r>
      <w:r w:rsidRPr="008929AF">
        <w:rPr>
          <w:rFonts w:cstheme="minorHAnsi"/>
        </w:rPr>
        <w:t xml:space="preserve"> On average in </w:t>
      </w:r>
      <w:r w:rsidR="00445933">
        <w:rPr>
          <w:rFonts w:cstheme="minorHAnsi"/>
        </w:rPr>
        <w:t>20</w:t>
      </w:r>
      <w:r w:rsidRPr="008929AF">
        <w:rPr>
          <w:rFonts w:cstheme="minorHAnsi"/>
        </w:rPr>
        <w:t>20</w:t>
      </w:r>
      <w:r w:rsidR="00445933">
        <w:t>–</w:t>
      </w:r>
      <w:r w:rsidRPr="008929AF">
        <w:rPr>
          <w:rFonts w:cstheme="minorHAnsi"/>
        </w:rPr>
        <w:t>21, 25% of AFSL applications were finalised in 35 days, 50% finalised in 90 days and 70% finalised in 143</w:t>
      </w:r>
      <w:r w:rsidR="001655A9" w:rsidRPr="008929AF">
        <w:rPr>
          <w:rFonts w:cstheme="minorHAnsi"/>
        </w:rPr>
        <w:t> </w:t>
      </w:r>
      <w:r w:rsidRPr="008929AF">
        <w:rPr>
          <w:rFonts w:cstheme="minorHAnsi"/>
        </w:rPr>
        <w:t>day</w:t>
      </w:r>
      <w:r w:rsidR="00445933">
        <w:t>s.</w:t>
      </w:r>
      <w:r w:rsidRPr="008929AF">
        <w:rPr>
          <w:rStyle w:val="FootnoteReference"/>
        </w:rPr>
        <w:footnoteReference w:id="162"/>
      </w:r>
      <w:r w:rsidRPr="008929AF">
        <w:rPr>
          <w:rFonts w:cstheme="minorHAnsi"/>
        </w:rPr>
        <w:t xml:space="preserve"> One industry stakeholder commented on their experience of a 2</w:t>
      </w:r>
      <w:r w:rsidR="00EF40B0">
        <w:rPr>
          <w:rFonts w:cstheme="minorHAnsi"/>
        </w:rPr>
        <w:noBreakHyphen/>
      </w:r>
      <w:r w:rsidRPr="008929AF">
        <w:rPr>
          <w:rFonts w:cstheme="minorHAnsi"/>
        </w:rPr>
        <w:t>month turnaround for simple applications, providing support that ASIC</w:t>
      </w:r>
      <w:r w:rsidR="00EF40B0">
        <w:rPr>
          <w:rFonts w:cstheme="minorHAnsi"/>
        </w:rPr>
        <w:t>’</w:t>
      </w:r>
      <w:r w:rsidRPr="008929AF">
        <w:rPr>
          <w:rFonts w:cstheme="minorHAnsi"/>
        </w:rPr>
        <w:t>s triage process appears effective</w:t>
      </w:r>
      <w:r w:rsidRPr="00840E20">
        <w:rPr>
          <w:rStyle w:val="FootnoteReference"/>
          <w:vertAlign w:val="baseline"/>
        </w:rPr>
        <w:t>.</w:t>
      </w:r>
      <w:r w:rsidRPr="008929AF">
        <w:rPr>
          <w:rStyle w:val="FootnoteReference"/>
        </w:rPr>
        <w:footnoteReference w:id="163"/>
      </w:r>
      <w:r w:rsidRPr="008929AF">
        <w:rPr>
          <w:rFonts w:cstheme="minorHAnsi"/>
        </w:rPr>
        <w:t xml:space="preserve"> </w:t>
      </w:r>
    </w:p>
    <w:p w14:paraId="1463F419" w14:textId="53A5D26C" w:rsidR="00A02457" w:rsidRPr="008929AF" w:rsidRDefault="00A02457" w:rsidP="00975036">
      <w:pPr>
        <w:pStyle w:val="numberedtext"/>
        <w:numPr>
          <w:ilvl w:val="0"/>
          <w:numId w:val="24"/>
        </w:numPr>
        <w:rPr>
          <w:rFonts w:cstheme="minorHAnsi"/>
        </w:rPr>
      </w:pPr>
      <w:r w:rsidRPr="008929AF">
        <w:rPr>
          <w:rFonts w:cstheme="minorHAnsi"/>
        </w:rPr>
        <w:t xml:space="preserve">Submissions and comments made during targeted interviews criticised the processing times for more complex applications. For the 50% of applications that are not classified </w:t>
      </w:r>
      <w:r w:rsidR="00EF40B0">
        <w:rPr>
          <w:rFonts w:cstheme="minorHAnsi"/>
        </w:rPr>
        <w:t>‘</w:t>
      </w:r>
      <w:r w:rsidRPr="008929AF">
        <w:rPr>
          <w:rFonts w:cstheme="minorHAnsi"/>
        </w:rPr>
        <w:t>low</w:t>
      </w:r>
      <w:r w:rsidR="00EF40B0">
        <w:rPr>
          <w:rFonts w:cstheme="minorHAnsi"/>
        </w:rPr>
        <w:noBreakHyphen/>
      </w:r>
      <w:r w:rsidRPr="008929AF">
        <w:rPr>
          <w:rFonts w:cstheme="minorHAnsi"/>
        </w:rPr>
        <w:t>risk</w:t>
      </w:r>
      <w:r w:rsidR="00EF40B0">
        <w:rPr>
          <w:rFonts w:cstheme="minorHAnsi"/>
        </w:rPr>
        <w:t>’</w:t>
      </w:r>
      <w:r w:rsidRPr="008929AF">
        <w:rPr>
          <w:rFonts w:cstheme="minorHAnsi"/>
        </w:rPr>
        <w:t xml:space="preserve"> the processing time is significantly longer than 90 days.</w:t>
      </w:r>
      <w:r w:rsidRPr="008929AF">
        <w:rPr>
          <w:rStyle w:val="FootnoteReference"/>
        </w:rPr>
        <w:footnoteReference w:id="164"/>
      </w:r>
      <w:r w:rsidRPr="008929AF">
        <w:rPr>
          <w:rStyle w:val="FootnoteReference"/>
        </w:rPr>
        <w:t xml:space="preserve"> </w:t>
      </w:r>
      <w:r w:rsidRPr="008929AF">
        <w:rPr>
          <w:rFonts w:cstheme="minorHAnsi"/>
        </w:rPr>
        <w:t>The variation in processing times was noted in targeted interviews, where one industry stakeholder noted that low</w:t>
      </w:r>
      <w:r w:rsidR="00EF40B0">
        <w:rPr>
          <w:rFonts w:cstheme="minorHAnsi"/>
        </w:rPr>
        <w:noBreakHyphen/>
      </w:r>
      <w:r w:rsidRPr="008929AF">
        <w:rPr>
          <w:rFonts w:cstheme="minorHAnsi"/>
        </w:rPr>
        <w:t>risk applicants could be processed as quickly as a few weeks; while more complex applicants could wait for over a year without a resolution.</w:t>
      </w:r>
      <w:r w:rsidRPr="008929AF">
        <w:rPr>
          <w:rStyle w:val="FootnoteReference"/>
        </w:rPr>
        <w:footnoteReference w:id="165"/>
      </w:r>
      <w:r w:rsidRPr="008929AF">
        <w:rPr>
          <w:rFonts w:cstheme="minorHAnsi"/>
        </w:rPr>
        <w:t xml:space="preserve"> Some stakeholders consider these timeframes unacceptable and noted that the long processing times, particularly experienced by complex </w:t>
      </w:r>
      <w:r w:rsidRPr="008929AF">
        <w:rPr>
          <w:rFonts w:cstheme="minorHAnsi"/>
        </w:rPr>
        <w:lastRenderedPageBreak/>
        <w:t>and innovative business models, are a barrier to Australia</w:t>
      </w:r>
      <w:r w:rsidR="00EF40B0">
        <w:rPr>
          <w:rFonts w:cstheme="minorHAnsi"/>
        </w:rPr>
        <w:t>’</w:t>
      </w:r>
      <w:r w:rsidRPr="008929AF">
        <w:rPr>
          <w:rFonts w:cstheme="minorHAnsi"/>
        </w:rPr>
        <w:t>s growth as a financial centre.</w:t>
      </w:r>
      <w:r w:rsidRPr="008929AF">
        <w:rPr>
          <w:rStyle w:val="FootnoteReference"/>
        </w:rPr>
        <w:footnoteReference w:id="166"/>
      </w:r>
      <w:r w:rsidRPr="008929AF">
        <w:rPr>
          <w:rStyle w:val="FootnoteReference"/>
        </w:rPr>
        <w:t xml:space="preserve"> </w:t>
      </w:r>
      <w:r w:rsidRPr="008929AF">
        <w:rPr>
          <w:rFonts w:cstheme="minorHAnsi"/>
        </w:rPr>
        <w:t>One</w:t>
      </w:r>
      <w:r w:rsidR="001655A9" w:rsidRPr="008929AF">
        <w:rPr>
          <w:rFonts w:cstheme="minorHAnsi"/>
        </w:rPr>
        <w:t> </w:t>
      </w:r>
      <w:r w:rsidRPr="008929AF">
        <w:rPr>
          <w:rFonts w:cstheme="minorHAnsi"/>
        </w:rPr>
        <w:t>industry stakeholder suggested ASIC, or the Government, could consider implementing a maximum timeframe for processing applications, as they have done in the U</w:t>
      </w:r>
      <w:r w:rsidR="004878FA">
        <w:rPr>
          <w:rFonts w:cstheme="minorHAnsi"/>
        </w:rPr>
        <w:t xml:space="preserve">nited </w:t>
      </w:r>
      <w:r w:rsidRPr="008929AF">
        <w:rPr>
          <w:rFonts w:cstheme="minorHAnsi"/>
        </w:rPr>
        <w:t>K</w:t>
      </w:r>
      <w:r w:rsidR="004878FA">
        <w:rPr>
          <w:rFonts w:cstheme="minorHAnsi"/>
        </w:rPr>
        <w:t>ingdom</w:t>
      </w:r>
      <w:r w:rsidRPr="008929AF">
        <w:rPr>
          <w:rFonts w:cstheme="minorHAnsi"/>
        </w:rPr>
        <w:t>, to promote transparency and certainty for business</w:t>
      </w:r>
      <w:r w:rsidR="009D1FA5">
        <w:rPr>
          <w:rFonts w:cstheme="minorHAnsi"/>
        </w:rPr>
        <w:t>, which would require law reform</w:t>
      </w:r>
      <w:r w:rsidRPr="008929AF">
        <w:rPr>
          <w:rFonts w:cstheme="minorHAnsi"/>
        </w:rPr>
        <w:t>.</w:t>
      </w:r>
      <w:r w:rsidRPr="008929AF">
        <w:rPr>
          <w:rStyle w:val="FootnoteReference"/>
        </w:rPr>
        <w:footnoteReference w:id="167"/>
      </w:r>
    </w:p>
    <w:p w14:paraId="59981C2D" w14:textId="121119B4" w:rsidR="00A02457" w:rsidRPr="008929AF" w:rsidRDefault="00A02457" w:rsidP="00975036">
      <w:pPr>
        <w:pStyle w:val="numberedtext"/>
        <w:numPr>
          <w:ilvl w:val="0"/>
          <w:numId w:val="24"/>
        </w:numPr>
        <w:rPr>
          <w:rFonts w:cstheme="minorHAnsi"/>
        </w:rPr>
      </w:pPr>
      <w:bookmarkStart w:id="130" w:name="_Ref110262703"/>
      <w:r w:rsidRPr="008929AF">
        <w:rPr>
          <w:rFonts w:cstheme="minorHAnsi"/>
        </w:rPr>
        <w:t xml:space="preserve">ASIC noted that there are only a small number of applications with a processing time of more than 300 days. In </w:t>
      </w:r>
      <w:r w:rsidR="00445933">
        <w:rPr>
          <w:rFonts w:cstheme="minorHAnsi"/>
        </w:rPr>
        <w:t>20</w:t>
      </w:r>
      <w:r w:rsidRPr="008929AF">
        <w:rPr>
          <w:rFonts w:cstheme="minorHAnsi"/>
        </w:rPr>
        <w:t>20</w:t>
      </w:r>
      <w:r w:rsidR="00445933">
        <w:t>–</w:t>
      </w:r>
      <w:r w:rsidRPr="008929AF">
        <w:rPr>
          <w:rFonts w:cstheme="minorHAnsi"/>
        </w:rPr>
        <w:t>21, there were 29 applications awaiting a decision with a processing time of greater than 300 days, approximately 1.5% of total applications.</w:t>
      </w:r>
      <w:r w:rsidRPr="008929AF">
        <w:rPr>
          <w:rStyle w:val="FootnoteReference"/>
        </w:rPr>
        <w:footnoteReference w:id="168"/>
      </w:r>
      <w:r w:rsidRPr="008929AF">
        <w:rPr>
          <w:rFonts w:cstheme="minorHAnsi"/>
        </w:rPr>
        <w:t xml:space="preserve"> In such cases ASIC may have intelligence concerns about the applicant (they may be under surveillance or subject</w:t>
      </w:r>
      <w:r>
        <w:t xml:space="preserve"> </w:t>
      </w:r>
      <w:r w:rsidRPr="008929AF">
        <w:rPr>
          <w:rFonts w:cstheme="minorHAnsi"/>
        </w:rPr>
        <w:t xml:space="preserve">to an impending enforcement proceeding), </w:t>
      </w:r>
      <w:r w:rsidR="005E3EEA">
        <w:rPr>
          <w:rFonts w:cstheme="minorHAnsi"/>
        </w:rPr>
        <w:t xml:space="preserve">it may raise a policy consideration (which may be subject </w:t>
      </w:r>
      <w:r w:rsidR="005D3972">
        <w:rPr>
          <w:rFonts w:cstheme="minorHAnsi"/>
        </w:rPr>
        <w:t>to public consultation by Government or ASIC</w:t>
      </w:r>
      <w:r w:rsidR="00A0702C">
        <w:rPr>
          <w:rFonts w:cstheme="minorHAnsi"/>
        </w:rPr>
        <w:t>),</w:t>
      </w:r>
      <w:r w:rsidR="005D3972">
        <w:rPr>
          <w:rFonts w:cstheme="minorHAnsi"/>
        </w:rPr>
        <w:t xml:space="preserve"> </w:t>
      </w:r>
      <w:r w:rsidRPr="008929AF">
        <w:rPr>
          <w:rFonts w:cstheme="minorHAnsi"/>
        </w:rPr>
        <w:t>or the application may be incomplete and th</w:t>
      </w:r>
      <w:r w:rsidR="005D3972">
        <w:rPr>
          <w:rFonts w:cstheme="minorHAnsi"/>
        </w:rPr>
        <w:t>erefore</w:t>
      </w:r>
      <w:r w:rsidRPr="008929AF">
        <w:rPr>
          <w:rFonts w:cstheme="minorHAnsi"/>
        </w:rPr>
        <w:t xml:space="preserve"> not able to be finalised.</w:t>
      </w:r>
      <w:bookmarkEnd w:id="130"/>
      <w:r w:rsidRPr="008929AF">
        <w:rPr>
          <w:rFonts w:cstheme="minorHAnsi"/>
        </w:rPr>
        <w:t xml:space="preserve"> </w:t>
      </w:r>
    </w:p>
    <w:p w14:paraId="3B7DD3EC" w14:textId="1DD287F7" w:rsidR="00FD187D" w:rsidRDefault="00A02457" w:rsidP="00975036">
      <w:pPr>
        <w:pStyle w:val="numberedtext"/>
        <w:numPr>
          <w:ilvl w:val="0"/>
          <w:numId w:val="24"/>
        </w:numPr>
        <w:rPr>
          <w:rFonts w:cstheme="minorHAnsi"/>
        </w:rPr>
      </w:pPr>
      <w:r w:rsidRPr="008929AF">
        <w:rPr>
          <w:rFonts w:cstheme="minorHAnsi"/>
        </w:rPr>
        <w:t>The FRAA questions whether ASIC</w:t>
      </w:r>
      <w:r w:rsidR="00EF40B0">
        <w:rPr>
          <w:rFonts w:cstheme="minorHAnsi"/>
        </w:rPr>
        <w:t>’</w:t>
      </w:r>
      <w:r w:rsidRPr="008929AF">
        <w:rPr>
          <w:rFonts w:cstheme="minorHAnsi"/>
        </w:rPr>
        <w:t>s licensing timeframe</w:t>
      </w:r>
      <w:r w:rsidR="007F7C16">
        <w:rPr>
          <w:rFonts w:cstheme="minorHAnsi"/>
        </w:rPr>
        <w:t>s</w:t>
      </w:r>
      <w:r w:rsidRPr="008929AF">
        <w:rPr>
          <w:rFonts w:cstheme="minorHAnsi"/>
        </w:rPr>
        <w:t xml:space="preserve"> are keeping pace with timeliness expected.</w:t>
      </w:r>
      <w:r w:rsidRPr="008929AF">
        <w:rPr>
          <w:rStyle w:val="FootnoteReference"/>
        </w:rPr>
        <w:footnoteReference w:id="169"/>
      </w:r>
      <w:r w:rsidRPr="008929AF">
        <w:rPr>
          <w:rFonts w:cstheme="minorHAnsi"/>
        </w:rPr>
        <w:t xml:space="preserve"> For example, there have been substantial service improvements by other government departments (Service NSW, </w:t>
      </w:r>
      <w:r w:rsidR="007C02D4">
        <w:rPr>
          <w:rFonts w:cstheme="minorHAnsi"/>
        </w:rPr>
        <w:t>Australian Taxation Office (</w:t>
      </w:r>
      <w:r w:rsidRPr="008929AF">
        <w:rPr>
          <w:rFonts w:cstheme="minorHAnsi"/>
        </w:rPr>
        <w:t>ATO</w:t>
      </w:r>
      <w:r w:rsidR="007C02D4">
        <w:rPr>
          <w:rFonts w:cstheme="minorHAnsi"/>
        </w:rPr>
        <w:t>)</w:t>
      </w:r>
      <w:r w:rsidRPr="008929AF">
        <w:rPr>
          <w:rFonts w:cstheme="minorHAnsi"/>
        </w:rPr>
        <w:t>) and the corporate sector.</w:t>
      </w:r>
      <w:r w:rsidR="005D3972">
        <w:rPr>
          <w:rStyle w:val="FootnoteReference"/>
          <w:rFonts w:cstheme="minorHAnsi"/>
        </w:rPr>
        <w:footnoteReference w:id="170"/>
      </w:r>
      <w:r w:rsidRPr="008929AF">
        <w:rPr>
          <w:rFonts w:cstheme="minorHAnsi"/>
        </w:rPr>
        <w:t xml:space="preserve"> In one case (refer </w:t>
      </w:r>
      <w:r w:rsidR="00A6032A" w:rsidRPr="00F603DB">
        <w:rPr>
          <w:bCs/>
        </w:rPr>
        <w:t>Box 5.</w:t>
      </w:r>
      <w:r w:rsidR="00A6032A">
        <w:rPr>
          <w:bCs/>
        </w:rPr>
        <w:t>1</w:t>
      </w:r>
      <w:r w:rsidRPr="008929AF">
        <w:rPr>
          <w:rFonts w:cstheme="minorHAnsi"/>
        </w:rPr>
        <w:t>), a major bank advised that in the last year the average time taken to provide a small business loan has been reduced from 17 days to less than 4</w:t>
      </w:r>
      <w:r w:rsidR="003D082A">
        <w:rPr>
          <w:rFonts w:cstheme="minorHAnsi"/>
        </w:rPr>
        <w:t> </w:t>
      </w:r>
      <w:r w:rsidRPr="008929AF">
        <w:rPr>
          <w:rFonts w:cstheme="minorHAnsi"/>
        </w:rPr>
        <w:t>days</w:t>
      </w:r>
      <w:r w:rsidRPr="00B22ECF">
        <w:rPr>
          <w:rStyle w:val="FootnoteReference"/>
          <w:vertAlign w:val="baseline"/>
        </w:rPr>
        <w:t>.</w:t>
      </w:r>
      <w:r w:rsidRPr="008929AF">
        <w:rPr>
          <w:rStyle w:val="FootnoteReference"/>
        </w:rPr>
        <w:footnoteReference w:id="171"/>
      </w:r>
      <w:r w:rsidRPr="008929AF">
        <w:rPr>
          <w:rFonts w:cstheme="minorHAnsi"/>
        </w:rPr>
        <w:t xml:space="preserve"> </w:t>
      </w:r>
    </w:p>
    <w:p w14:paraId="1B65A9CF" w14:textId="631C02F7" w:rsidR="00A02457" w:rsidRPr="00FD187D" w:rsidRDefault="00FD187D" w:rsidP="00FD187D">
      <w:pPr>
        <w:spacing w:before="0" w:after="160" w:line="259" w:lineRule="auto"/>
      </w:pPr>
      <w:r>
        <w:rPr>
          <w:rFonts w:cstheme="minorHAnsi"/>
        </w:rPr>
        <w:br w:type="page"/>
      </w:r>
    </w:p>
    <w:tbl>
      <w:tblPr>
        <w:tblStyle w:val="TableGrid"/>
        <w:tblW w:w="0" w:type="auto"/>
        <w:tblInd w:w="567" w:type="dxa"/>
        <w:shd w:val="clear" w:color="auto" w:fill="EAEAEA" w:themeFill="background2"/>
        <w:tblCellMar>
          <w:top w:w="170" w:type="dxa"/>
          <w:left w:w="170" w:type="dxa"/>
          <w:bottom w:w="170" w:type="dxa"/>
          <w:right w:w="170" w:type="dxa"/>
        </w:tblCellMar>
        <w:tblLook w:val="04A0" w:firstRow="1" w:lastRow="0" w:firstColumn="1" w:lastColumn="0" w:noHBand="0" w:noVBand="1"/>
      </w:tblPr>
      <w:tblGrid>
        <w:gridCol w:w="8459"/>
      </w:tblGrid>
      <w:tr w:rsidR="00A02457" w:rsidRPr="00E52FE0" w14:paraId="3CE8927C" w14:textId="77777777" w:rsidTr="00B02E9E">
        <w:tc>
          <w:tcPr>
            <w:tcW w:w="8459" w:type="dxa"/>
            <w:shd w:val="clear" w:color="auto" w:fill="EAEAEA" w:themeFill="background2"/>
          </w:tcPr>
          <w:p w14:paraId="6537DBF3" w14:textId="0185F71B" w:rsidR="00A02457" w:rsidRPr="00F603DB" w:rsidRDefault="00A02457" w:rsidP="00B02E9E">
            <w:pPr>
              <w:pStyle w:val="BoxHeading"/>
              <w:rPr>
                <w:bCs/>
              </w:rPr>
            </w:pPr>
            <w:bookmarkStart w:id="131" w:name="Box_5_1"/>
            <w:r w:rsidRPr="00F603DB">
              <w:rPr>
                <w:bCs/>
              </w:rPr>
              <w:lastRenderedPageBreak/>
              <w:t>Box 5.</w:t>
            </w:r>
            <w:r>
              <w:rPr>
                <w:bCs/>
              </w:rPr>
              <w:t>1</w:t>
            </w:r>
            <w:bookmarkEnd w:id="131"/>
            <w:r w:rsidRPr="00F603DB">
              <w:rPr>
                <w:bCs/>
              </w:rPr>
              <w:t xml:space="preserve">: </w:t>
            </w:r>
            <w:r w:rsidRPr="00F603DB">
              <w:t>Industry example – comparison of ASIC</w:t>
            </w:r>
            <w:r w:rsidR="00EF40B0">
              <w:t>’</w:t>
            </w:r>
            <w:r w:rsidRPr="00F603DB">
              <w:t xml:space="preserve">s licensing application process to </w:t>
            </w:r>
            <w:r>
              <w:t>a</w:t>
            </w:r>
            <w:r w:rsidRPr="00F603DB">
              <w:t xml:space="preserve"> business loan application process</w:t>
            </w:r>
          </w:p>
          <w:p w14:paraId="2AFDE39A" w14:textId="4DDAA229" w:rsidR="00A02457" w:rsidRPr="00F603DB" w:rsidRDefault="00A02457" w:rsidP="00B02E9E">
            <w:pPr>
              <w:pStyle w:val="BoxText"/>
            </w:pPr>
            <w:r w:rsidRPr="00F603DB">
              <w:t>Advancements in data, technology and business process innovations ha</w:t>
            </w:r>
            <w:r>
              <w:t>ve</w:t>
            </w:r>
            <w:r w:rsidRPr="00F603DB">
              <w:t xml:space="preserve"> enabled consistent reduction in processing timeframes</w:t>
            </w:r>
            <w:r w:rsidRPr="00F603DB" w:rsidDel="00856F50">
              <w:t xml:space="preserve"> </w:t>
            </w:r>
            <w:r w:rsidRPr="00F603DB">
              <w:t>across the economy. The similarities in the requirements for business loan applications and ASIC</w:t>
            </w:r>
            <w:r w:rsidR="00EF40B0">
              <w:t>’</w:t>
            </w:r>
            <w:r w:rsidRPr="00F603DB">
              <w:t xml:space="preserve">s AFSL applications make for an interesting comparison. Table 1 </w:t>
            </w:r>
            <w:r>
              <w:t>outlines</w:t>
            </w:r>
            <w:r w:rsidRPr="00F603DB">
              <w:t xml:space="preserve"> the </w:t>
            </w:r>
            <w:r>
              <w:t>similarities in the</w:t>
            </w:r>
            <w:r w:rsidRPr="00F603DB">
              <w:t xml:space="preserve"> base level documentation</w:t>
            </w:r>
            <w:r>
              <w:t>.</w:t>
            </w:r>
          </w:p>
          <w:p w14:paraId="69115B1E" w14:textId="2A640D51" w:rsidR="00A02457" w:rsidRPr="00F603DB" w:rsidRDefault="00A02457" w:rsidP="00B02E9E">
            <w:pPr>
              <w:pStyle w:val="TableMainHeading"/>
            </w:pPr>
            <w:r w:rsidRPr="00F603DB">
              <w:t xml:space="preserve">Table 1: ASIC </w:t>
            </w:r>
            <w:r w:rsidRPr="001655A9">
              <w:t>core</w:t>
            </w:r>
            <w:r w:rsidRPr="00F603DB">
              <w:t xml:space="preserve"> documents against a bank</w:t>
            </w:r>
            <w:r w:rsidR="00EF40B0">
              <w:t>’</w:t>
            </w:r>
            <w:r w:rsidRPr="00F603DB">
              <w:t>s minimum requirements</w:t>
            </w:r>
          </w:p>
          <w:tbl>
            <w:tblPr>
              <w:tblStyle w:val="FRAAtable1"/>
              <w:tblW w:w="0" w:type="auto"/>
              <w:tblLook w:val="04A0" w:firstRow="1" w:lastRow="0" w:firstColumn="1" w:lastColumn="0" w:noHBand="0" w:noVBand="1"/>
            </w:tblPr>
            <w:tblGrid>
              <w:gridCol w:w="4055"/>
              <w:gridCol w:w="4064"/>
            </w:tblGrid>
            <w:tr w:rsidR="00A02457" w:rsidRPr="00F603DB" w14:paraId="4E77D15E" w14:textId="77777777" w:rsidTr="007D51E8">
              <w:trPr>
                <w:cnfStyle w:val="100000000000" w:firstRow="1" w:lastRow="0" w:firstColumn="0" w:lastColumn="0" w:oddVBand="0" w:evenVBand="0" w:oddHBand="0" w:evenHBand="0" w:firstRowFirstColumn="0" w:firstRowLastColumn="0" w:lastRowFirstColumn="0" w:lastRowLastColumn="0"/>
              </w:trPr>
              <w:tc>
                <w:tcPr>
                  <w:tcW w:w="4109" w:type="dxa"/>
                  <w:shd w:val="clear" w:color="auto" w:fill="FFFFFF" w:themeFill="background1"/>
                  <w:hideMark/>
                </w:tcPr>
                <w:p w14:paraId="59E17560" w14:textId="77777777" w:rsidR="00A02457" w:rsidRPr="001655A9" w:rsidRDefault="00A02457" w:rsidP="00B02E9E">
                  <w:pPr>
                    <w:pStyle w:val="TableTextLeft"/>
                    <w:rPr>
                      <w:b/>
                      <w:bCs/>
                    </w:rPr>
                  </w:pPr>
                  <w:r w:rsidRPr="001655A9">
                    <w:rPr>
                      <w:b/>
                      <w:bCs/>
                    </w:rPr>
                    <w:t>ASIC and bank requirements</w:t>
                  </w:r>
                </w:p>
              </w:tc>
              <w:tc>
                <w:tcPr>
                  <w:tcW w:w="4114" w:type="dxa"/>
                  <w:shd w:val="clear" w:color="auto" w:fill="FFFFFF" w:themeFill="background1"/>
                  <w:hideMark/>
                </w:tcPr>
                <w:p w14:paraId="3960B7CC" w14:textId="77777777" w:rsidR="00A02457" w:rsidRPr="00F603DB" w:rsidRDefault="00A02457" w:rsidP="00B02E9E">
                  <w:pPr>
                    <w:pStyle w:val="TableTextLeft"/>
                  </w:pPr>
                  <w:r w:rsidRPr="00F603DB">
                    <w:t>Identification documents</w:t>
                  </w:r>
                  <w:r>
                    <w:t>, o</w:t>
                  </w:r>
                  <w:r w:rsidRPr="00F603DB">
                    <w:t>verview of applicant business and organisational chart</w:t>
                  </w:r>
                  <w:r>
                    <w:t>, b</w:t>
                  </w:r>
                  <w:r w:rsidRPr="00F603DB">
                    <w:t>ankruptcy check</w:t>
                  </w:r>
                  <w:r>
                    <w:t>, balance sheet, income statement, statement of cash flows</w:t>
                  </w:r>
                </w:p>
              </w:tc>
            </w:tr>
            <w:tr w:rsidR="00A02457" w:rsidRPr="00F603DB" w14:paraId="13615BF4" w14:textId="77777777" w:rsidTr="007D51E8">
              <w:trPr>
                <w:cnfStyle w:val="000000100000" w:firstRow="0" w:lastRow="0" w:firstColumn="0" w:lastColumn="0" w:oddVBand="0" w:evenVBand="0" w:oddHBand="1" w:evenHBand="0" w:firstRowFirstColumn="0" w:firstRowLastColumn="0" w:lastRowFirstColumn="0" w:lastRowLastColumn="0"/>
              </w:trPr>
              <w:tc>
                <w:tcPr>
                  <w:tcW w:w="4109" w:type="dxa"/>
                </w:tcPr>
                <w:p w14:paraId="65A7EF31" w14:textId="77777777" w:rsidR="00A02457" w:rsidRPr="001655A9" w:rsidRDefault="00A02457" w:rsidP="00B02E9E">
                  <w:pPr>
                    <w:pStyle w:val="TableTextLeft"/>
                    <w:rPr>
                      <w:b/>
                      <w:bCs/>
                    </w:rPr>
                  </w:pPr>
                  <w:r w:rsidRPr="001655A9">
                    <w:rPr>
                      <w:b/>
                      <w:bCs/>
                    </w:rPr>
                    <w:t>Additional ASIC requirements</w:t>
                  </w:r>
                </w:p>
              </w:tc>
              <w:tc>
                <w:tcPr>
                  <w:tcW w:w="4114" w:type="dxa"/>
                </w:tcPr>
                <w:p w14:paraId="76902827" w14:textId="246EB11A" w:rsidR="00A02457" w:rsidRPr="00940732" w:rsidRDefault="00310EB2" w:rsidP="00B02E9E">
                  <w:pPr>
                    <w:pStyle w:val="TableTextLeft"/>
                  </w:pPr>
                  <w:r>
                    <w:t>For each nominated responsible manager, a n</w:t>
                  </w:r>
                  <w:r w:rsidR="00A02457" w:rsidRPr="00F603DB">
                    <w:t>ational criminal history check</w:t>
                  </w:r>
                  <w:r w:rsidR="00A02457">
                    <w:t>, appropriateness</w:t>
                  </w:r>
                  <w:r w:rsidR="00A02457" w:rsidRPr="00F603DB">
                    <w:t xml:space="preserve"> of qualification</w:t>
                  </w:r>
                  <w:r w:rsidR="00A02457">
                    <w:t>s</w:t>
                  </w:r>
                  <w:r>
                    <w:t xml:space="preserve"> and 2</w:t>
                  </w:r>
                  <w:r w:rsidR="00A02457">
                    <w:t xml:space="preserve"> business references</w:t>
                  </w:r>
                </w:p>
              </w:tc>
            </w:tr>
          </w:tbl>
          <w:p w14:paraId="191155D1" w14:textId="7CFAD8C2" w:rsidR="00A02457" w:rsidRPr="00F603DB" w:rsidRDefault="00A02457" w:rsidP="00B02E9E">
            <w:pPr>
              <w:pStyle w:val="BoxText"/>
            </w:pPr>
            <w:r w:rsidRPr="00F603DB">
              <w:t>Business loans are processed in a matter of days for most applicants, and a number of minutes for some. While not directly comparable due to differences in measurement and ASIC</w:t>
            </w:r>
            <w:r w:rsidR="00EF40B0">
              <w:t>’</w:t>
            </w:r>
            <w:r>
              <w:t>s</w:t>
            </w:r>
            <w:r w:rsidRPr="00F603DB">
              <w:t xml:space="preserve"> need</w:t>
            </w:r>
            <w:r>
              <w:t xml:space="preserve"> </w:t>
            </w:r>
            <w:r w:rsidRPr="00F603DB">
              <w:t xml:space="preserve">to analyse additional </w:t>
            </w:r>
            <w:r>
              <w:t>information</w:t>
            </w:r>
            <w:r w:rsidRPr="00F603DB">
              <w:t xml:space="preserve"> such as </w:t>
            </w:r>
            <w:r w:rsidR="00221798">
              <w:t xml:space="preserve">intelligence separately available, </w:t>
            </w:r>
            <w:r w:rsidR="00172260">
              <w:t xml:space="preserve">suitability of authorisations for business, compliance </w:t>
            </w:r>
            <w:r w:rsidR="009F125E">
              <w:t>arrangements,</w:t>
            </w:r>
            <w:r w:rsidRPr="00F603DB">
              <w:t xml:space="preserve"> </w:t>
            </w:r>
            <w:r>
              <w:t xml:space="preserve">appropriateness of </w:t>
            </w:r>
            <w:r w:rsidRPr="00F603DB">
              <w:t>qualifications and business references</w:t>
            </w:r>
            <w:r w:rsidR="009F125E">
              <w:t xml:space="preserve"> etc</w:t>
            </w:r>
            <w:r w:rsidRPr="00F603DB">
              <w:t>, the timeframes for processing business loans are significantly faster than average low</w:t>
            </w:r>
            <w:r w:rsidR="00EF40B0">
              <w:noBreakHyphen/>
            </w:r>
            <w:r w:rsidRPr="00F603DB">
              <w:t xml:space="preserve">risk AFSL timeframes which were 118 days in </w:t>
            </w:r>
            <w:r w:rsidR="00445933">
              <w:t>20</w:t>
            </w:r>
            <w:r w:rsidRPr="00F603DB">
              <w:t>20</w:t>
            </w:r>
            <w:r w:rsidR="00445933">
              <w:t>–</w:t>
            </w:r>
            <w:r w:rsidRPr="00F603DB">
              <w:t>21.</w:t>
            </w:r>
            <w:r w:rsidRPr="00F603DB">
              <w:rPr>
                <w:rStyle w:val="FootnoteReference"/>
                <w:rFonts w:asciiTheme="minorHAnsi" w:eastAsiaTheme="majorEastAsia" w:hAnsiTheme="minorHAnsi" w:cstheme="minorHAnsi"/>
                <w:sz w:val="22"/>
                <w:szCs w:val="22"/>
              </w:rPr>
              <w:footnoteReference w:id="172"/>
            </w:r>
          </w:p>
          <w:p w14:paraId="4915F2EA" w14:textId="052618A5" w:rsidR="00A02457" w:rsidRPr="00F603DB" w:rsidRDefault="00A02457" w:rsidP="00B02E9E">
            <w:pPr>
              <w:pStyle w:val="BoxText"/>
            </w:pPr>
            <w:r w:rsidRPr="758435B3">
              <w:t>The reduced timeframes in the banking sector have been driven by a commercial imperative</w:t>
            </w:r>
            <w:r w:rsidR="0024489A">
              <w:t xml:space="preserve">, whereas the purpose of the ASIC licensing function is to reduce harm and misconduct in the financial sector thereby promoting confident </w:t>
            </w:r>
            <w:r w:rsidR="005D5827">
              <w:t>and informed market participation for investors, consumers and market participants</w:t>
            </w:r>
            <w:r w:rsidRPr="758435B3">
              <w:t xml:space="preserve">. Different loan providers have reduced their timeframes in different ways: fintech companies have used data and automation while for more traditional </w:t>
            </w:r>
            <w:r w:rsidRPr="758435B3" w:rsidDel="00343A1C">
              <w:t>banks</w:t>
            </w:r>
            <w:r w:rsidRPr="758435B3">
              <w:t xml:space="preserve">, the reduction in timeframes have been achieved through a mix of data analytics and cultural change. For example, the bank reduced its business loan approval timeframe from 17 days to less than 4 days in one year by changes to resourcing and culture around processing. The business unit processing the loans adopted a </w:t>
            </w:r>
            <w:r w:rsidR="00EF40B0">
              <w:t>‘</w:t>
            </w:r>
            <w:r w:rsidRPr="758435B3">
              <w:t xml:space="preserve">same day not </w:t>
            </w:r>
            <w:r w:rsidR="00C601A3">
              <w:t>service</w:t>
            </w:r>
            <w:r w:rsidR="00EF40B0">
              <w:noBreakHyphen/>
            </w:r>
            <w:r w:rsidR="00C601A3">
              <w:t>level agreement</w:t>
            </w:r>
            <w:r w:rsidR="00EF40B0">
              <w:t>’</w:t>
            </w:r>
            <w:r w:rsidR="002975DF" w:rsidRPr="758435B3">
              <w:t xml:space="preserve"> mantra and implemented daily work in progress meetings to ensure applications were processed as quickly as possible</w:t>
            </w:r>
            <w:r w:rsidR="002975DF">
              <w:t>.</w:t>
            </w:r>
            <w:r w:rsidRPr="758435B3">
              <w:rPr>
                <w:rStyle w:val="FootnoteReference"/>
                <w:rFonts w:asciiTheme="minorHAnsi" w:eastAsiaTheme="majorEastAsia" w:hAnsiTheme="minorHAnsi" w:cstheme="minorBidi"/>
                <w:sz w:val="22"/>
                <w:szCs w:val="22"/>
              </w:rPr>
              <w:footnoteReference w:id="173"/>
            </w:r>
            <w:r w:rsidRPr="758435B3" w:rsidDel="00D726CB">
              <w:t xml:space="preserve"> </w:t>
            </w:r>
          </w:p>
          <w:p w14:paraId="6A14D97D" w14:textId="3A4E9ECE" w:rsidR="00A02457" w:rsidRPr="00F603DB" w:rsidRDefault="00A02457" w:rsidP="00B02E9E">
            <w:pPr>
              <w:pStyle w:val="BoxText"/>
            </w:pPr>
            <w:r>
              <w:t>T</w:t>
            </w:r>
            <w:r w:rsidRPr="00F603DB">
              <w:t xml:space="preserve">imeliness </w:t>
            </w:r>
            <w:r>
              <w:t>of</w:t>
            </w:r>
            <w:r w:rsidRPr="00F603DB">
              <w:t xml:space="preserve"> processing </w:t>
            </w:r>
            <w:r>
              <w:t>applications</w:t>
            </w:r>
            <w:r w:rsidRPr="00F603DB">
              <w:t xml:space="preserve"> was the main concern raised by stakeholders in this </w:t>
            </w:r>
            <w:r w:rsidR="005D42B0">
              <w:t>r</w:t>
            </w:r>
            <w:r w:rsidRPr="00F603DB">
              <w:t xml:space="preserve">eview, suggesting ASIC </w:t>
            </w:r>
            <w:r>
              <w:t>could be more ambitious in seeking to reduce timeframes</w:t>
            </w:r>
            <w:r w:rsidR="00C606AD">
              <w:t xml:space="preserve">. </w:t>
            </w:r>
          </w:p>
        </w:tc>
      </w:tr>
    </w:tbl>
    <w:p w14:paraId="30286646" w14:textId="77777777" w:rsidR="00FD187D" w:rsidRPr="00B02E9E" w:rsidRDefault="00FD187D" w:rsidP="00B02E9E"/>
    <w:p w14:paraId="2234EB46" w14:textId="77777777" w:rsidR="00FD187D" w:rsidRPr="00B02E9E" w:rsidRDefault="00FD187D" w:rsidP="00B02E9E">
      <w:r>
        <w:br w:type="page"/>
      </w:r>
    </w:p>
    <w:p w14:paraId="41488579" w14:textId="18E84893" w:rsidR="00A02457" w:rsidRPr="00B96FF5" w:rsidRDefault="00A02457" w:rsidP="00B96FF5">
      <w:pPr>
        <w:pStyle w:val="Heading4"/>
      </w:pPr>
      <w:r w:rsidRPr="00B96FF5">
        <w:lastRenderedPageBreak/>
        <w:t xml:space="preserve">Resourcing </w:t>
      </w:r>
    </w:p>
    <w:p w14:paraId="1635586A" w14:textId="76D3769D" w:rsidR="00A02457" w:rsidRPr="008929AF" w:rsidRDefault="00A02457" w:rsidP="00975036">
      <w:pPr>
        <w:pStyle w:val="numberedtext"/>
        <w:numPr>
          <w:ilvl w:val="0"/>
          <w:numId w:val="24"/>
        </w:numPr>
        <w:rPr>
          <w:rFonts w:cstheme="minorHAnsi"/>
        </w:rPr>
      </w:pPr>
      <w:r w:rsidRPr="008929AF">
        <w:rPr>
          <w:rFonts w:cstheme="minorHAnsi"/>
        </w:rPr>
        <w:t>One reason timeframes may not have kept pace with the community</w:t>
      </w:r>
      <w:r w:rsidR="00EF40B0">
        <w:rPr>
          <w:rFonts w:cstheme="minorHAnsi"/>
        </w:rPr>
        <w:t>’</w:t>
      </w:r>
      <w:r w:rsidRPr="008929AF">
        <w:rPr>
          <w:rFonts w:cstheme="minorHAnsi"/>
        </w:rPr>
        <w:t>s expectations is the allocation of licensing resourcing within ASIC. Industry stakeholders and several of ASIC</w:t>
      </w:r>
      <w:r w:rsidR="00EF40B0">
        <w:rPr>
          <w:rFonts w:cstheme="minorHAnsi"/>
        </w:rPr>
        <w:t>’</w:t>
      </w:r>
      <w:r w:rsidRPr="008929AF">
        <w:rPr>
          <w:rFonts w:cstheme="minorHAnsi"/>
        </w:rPr>
        <w:t>s licensing staff commented that the licensing function is under resourced.</w:t>
      </w:r>
      <w:r w:rsidRPr="008929AF">
        <w:rPr>
          <w:rStyle w:val="FootnoteReference"/>
        </w:rPr>
        <w:footnoteReference w:id="174"/>
      </w:r>
      <w:r w:rsidRPr="008929AF">
        <w:rPr>
          <w:rFonts w:cstheme="minorHAnsi"/>
        </w:rPr>
        <w:t xml:space="preserve"> Several ASIC commissioners and executive directors noted that the licensing function had not been prioritised relative to other organisational and regulatory prioritie</w:t>
      </w:r>
      <w:r w:rsidR="006621F8">
        <w:rPr>
          <w:rFonts w:cstheme="minorHAnsi"/>
        </w:rPr>
        <w:t>s.</w:t>
      </w:r>
      <w:r w:rsidRPr="008929AF">
        <w:rPr>
          <w:rStyle w:val="FootnoteReference"/>
        </w:rPr>
        <w:footnoteReference w:id="175"/>
      </w:r>
    </w:p>
    <w:p w14:paraId="178D8BBD" w14:textId="547B2AF3" w:rsidR="00181DCA" w:rsidRPr="00115E5A" w:rsidRDefault="00EF40B0" w:rsidP="001655A9">
      <w:pPr>
        <w:pStyle w:val="Quote"/>
      </w:pPr>
      <w:r>
        <w:t>‘</w:t>
      </w:r>
      <w:r w:rsidR="0015643C">
        <w:t>…</w:t>
      </w:r>
      <w:r w:rsidR="00181DCA" w:rsidRPr="14A62BF5">
        <w:t>Licensing requires more staff to process the ever</w:t>
      </w:r>
      <w:r>
        <w:noBreakHyphen/>
      </w:r>
      <w:r w:rsidR="00181DCA" w:rsidRPr="14A62BF5">
        <w:t>increasing volume of applications we receive annually.</w:t>
      </w:r>
      <w:r>
        <w:t>’</w:t>
      </w:r>
      <w:r w:rsidR="00181DCA" w:rsidRPr="14A62BF5">
        <w:t xml:space="preserve"> </w:t>
      </w:r>
      <w:r w:rsidR="001832B4">
        <w:t xml:space="preserve">– </w:t>
      </w:r>
      <w:r w:rsidR="00A02457">
        <w:t xml:space="preserve">Staff </w:t>
      </w:r>
      <w:r w:rsidR="00A02457" w:rsidRPr="14A62BF5">
        <w:t>survey</w:t>
      </w:r>
      <w:r w:rsidR="00181DCA" w:rsidRPr="14A62BF5">
        <w:t xml:space="preserve"> </w:t>
      </w:r>
    </w:p>
    <w:p w14:paraId="2C36921A" w14:textId="77777777" w:rsidR="00181DCA" w:rsidRPr="008929AF" w:rsidRDefault="00181DCA" w:rsidP="00975036">
      <w:pPr>
        <w:pStyle w:val="numberedtext"/>
        <w:numPr>
          <w:ilvl w:val="0"/>
          <w:numId w:val="24"/>
        </w:numPr>
        <w:rPr>
          <w:rFonts w:cstheme="minorHAnsi"/>
        </w:rPr>
      </w:pPr>
      <w:r w:rsidRPr="008929AF">
        <w:rPr>
          <w:rFonts w:cstheme="minorHAnsi"/>
        </w:rPr>
        <w:t>One stakeholder noted that as new sectors have been brought into the licensing regime, the licensing team has not grown</w:t>
      </w:r>
      <w:r w:rsidRPr="002E1E80">
        <w:rPr>
          <w:rStyle w:val="FootnoteReference"/>
          <w:vertAlign w:val="baseline"/>
        </w:rPr>
        <w:t>.</w:t>
      </w:r>
      <w:r w:rsidRPr="008929AF">
        <w:rPr>
          <w:rStyle w:val="FootnoteReference"/>
        </w:rPr>
        <w:footnoteReference w:id="176"/>
      </w:r>
    </w:p>
    <w:p w14:paraId="448FAB03" w14:textId="6075FC78" w:rsidR="00A02457" w:rsidRPr="00FB1B03" w:rsidRDefault="00EF40B0" w:rsidP="001655A9">
      <w:pPr>
        <w:pStyle w:val="Quote"/>
      </w:pPr>
      <w:r>
        <w:t>‘</w:t>
      </w:r>
      <w:r w:rsidR="00A02457" w:rsidRPr="00E17089">
        <w:t>[it is] uncertain whether the importance of the licensing function is fully appreciated, as it often seems to be short of sufficiently skilled resources, and resources generally (which is disappointing).</w:t>
      </w:r>
      <w:r>
        <w:t>’</w:t>
      </w:r>
      <w:r w:rsidR="00A02457" w:rsidRPr="00E17089">
        <w:t xml:space="preserve"> </w:t>
      </w:r>
      <w:r w:rsidR="001832B4">
        <w:t xml:space="preserve">– </w:t>
      </w:r>
      <w:r w:rsidR="00A02457" w:rsidRPr="00E17089">
        <w:t>Public submission, Law Council of Australia</w:t>
      </w:r>
    </w:p>
    <w:p w14:paraId="56A07B70" w14:textId="6999F793" w:rsidR="00A02457" w:rsidRPr="008929AF" w:rsidRDefault="00A02457" w:rsidP="009D7A95">
      <w:pPr>
        <w:pStyle w:val="numberedtext"/>
        <w:numPr>
          <w:ilvl w:val="0"/>
          <w:numId w:val="24"/>
        </w:numPr>
        <w:rPr>
          <w:rFonts w:cstheme="minorHAnsi"/>
        </w:rPr>
      </w:pPr>
      <w:r w:rsidRPr="008929AF">
        <w:rPr>
          <w:rFonts w:cstheme="minorHAnsi"/>
        </w:rPr>
        <w:t>Senior ASIC officials agree that with more resourcing, licensing assessment timeframes could be improved. However, they considered this speed would come at a cost of consumer protection and market integrity as resources would be diverted from other areas of the organisation.</w:t>
      </w:r>
      <w:r w:rsidRPr="008929AF">
        <w:rPr>
          <w:rStyle w:val="FootnoteReference"/>
        </w:rPr>
        <w:footnoteReference w:id="177"/>
      </w:r>
      <w:r w:rsidRPr="008929AF">
        <w:rPr>
          <w:rFonts w:cstheme="minorHAnsi"/>
        </w:rPr>
        <w:t xml:space="preserve"> Senior ASIC officials noted the constraints of the licensing regime, it being a point</w:t>
      </w:r>
      <w:r w:rsidR="00EF40B0">
        <w:rPr>
          <w:rFonts w:cstheme="minorHAnsi"/>
        </w:rPr>
        <w:noBreakHyphen/>
      </w:r>
      <w:r w:rsidRPr="008929AF">
        <w:rPr>
          <w:rFonts w:cstheme="minorHAnsi"/>
        </w:rPr>
        <w:t>in</w:t>
      </w:r>
      <w:r w:rsidR="00EF40B0">
        <w:rPr>
          <w:rFonts w:cstheme="minorHAnsi"/>
        </w:rPr>
        <w:noBreakHyphen/>
      </w:r>
      <w:r w:rsidRPr="008929AF">
        <w:rPr>
          <w:rFonts w:cstheme="minorHAnsi"/>
        </w:rPr>
        <w:t>time</w:t>
      </w:r>
      <w:r w:rsidR="007F7C16">
        <w:rPr>
          <w:rFonts w:cstheme="minorHAnsi"/>
        </w:rPr>
        <w:t xml:space="preserve"> assessment</w:t>
      </w:r>
      <w:r w:rsidRPr="008929AF">
        <w:rPr>
          <w:rFonts w:cstheme="minorHAnsi"/>
        </w:rPr>
        <w:t>.</w:t>
      </w:r>
      <w:r w:rsidRPr="008929AF">
        <w:rPr>
          <w:rStyle w:val="FootnoteReference"/>
        </w:rPr>
        <w:footnoteReference w:id="178"/>
      </w:r>
      <w:r w:rsidRPr="008929AF">
        <w:rPr>
          <w:rStyle w:val="FootnoteReference"/>
        </w:rPr>
        <w:t xml:space="preserve"> </w:t>
      </w:r>
      <w:r w:rsidRPr="008929AF">
        <w:rPr>
          <w:rFonts w:cstheme="minorHAnsi"/>
        </w:rPr>
        <w:t>It was suggested to the FRAA that while increasing licensing resources would increase the speed of licensing assessments, it would not strengthen ASIC</w:t>
      </w:r>
      <w:r w:rsidR="00EF40B0">
        <w:rPr>
          <w:rFonts w:cstheme="minorHAnsi"/>
        </w:rPr>
        <w:t>’</w:t>
      </w:r>
      <w:r w:rsidRPr="008929AF">
        <w:rPr>
          <w:rFonts w:cstheme="minorHAnsi"/>
        </w:rPr>
        <w:t>s gatekeeper role or reduce the need for more costly surveillance and enforcement activities. If anything it would cause resources to be diverted from these areas. These ASIC officials feel the current licensing resourcing arrangements strike the right balance</w:t>
      </w:r>
      <w:r w:rsidRPr="000179C4">
        <w:rPr>
          <w:rStyle w:val="FootnoteReference"/>
          <w:vertAlign w:val="baseline"/>
        </w:rPr>
        <w:t>.</w:t>
      </w:r>
      <w:r w:rsidRPr="008929AF">
        <w:rPr>
          <w:rStyle w:val="FootnoteReference"/>
        </w:rPr>
        <w:footnoteReference w:id="179"/>
      </w:r>
    </w:p>
    <w:p w14:paraId="65AC605C" w14:textId="67304053" w:rsidR="00A02457" w:rsidRPr="008929AF" w:rsidRDefault="00A02457" w:rsidP="00975036">
      <w:pPr>
        <w:pStyle w:val="numberedtext"/>
        <w:numPr>
          <w:ilvl w:val="0"/>
          <w:numId w:val="24"/>
        </w:numPr>
        <w:rPr>
          <w:rFonts w:cstheme="minorHAnsi"/>
        </w:rPr>
      </w:pPr>
      <w:r w:rsidRPr="008929AF">
        <w:rPr>
          <w:rFonts w:cstheme="minorHAnsi"/>
        </w:rPr>
        <w:t xml:space="preserve">The FRAA notes that the portal and digital upgrades ASIC is undertaking (refer </w:t>
      </w:r>
      <w:r w:rsidR="00280F6A">
        <w:rPr>
          <w:rFonts w:cstheme="minorHAnsi"/>
        </w:rPr>
        <w:t xml:space="preserve">paragraph </w:t>
      </w:r>
      <w:r w:rsidR="00A6032A">
        <w:rPr>
          <w:rFonts w:cstheme="minorHAnsi"/>
        </w:rPr>
        <w:t>5.15</w:t>
      </w:r>
      <w:r w:rsidRPr="008929AF">
        <w:rPr>
          <w:rFonts w:cstheme="minorHAnsi"/>
        </w:rPr>
        <w:t xml:space="preserve">) will likely reduce the timeframes for processing applications. The FRAA encourages ASIC to be ambitious in seeking to reduce timeframes and specifically to: </w:t>
      </w:r>
    </w:p>
    <w:p w14:paraId="20F9A01C" w14:textId="0C611458" w:rsidR="00A02457" w:rsidRDefault="00A02457" w:rsidP="00923A66">
      <w:pPr>
        <w:pStyle w:val="Bullet"/>
      </w:pPr>
      <w:r>
        <w:t>consider afresh whether there are sufficient resources dedicated to this function</w:t>
      </w:r>
    </w:p>
    <w:p w14:paraId="23802139" w14:textId="2B393823" w:rsidR="003D082A" w:rsidRDefault="00A02457" w:rsidP="00923A66">
      <w:pPr>
        <w:pStyle w:val="Bullet"/>
      </w:pPr>
      <w:r>
        <w:t xml:space="preserve">use the rollout of the proposed systems to learn how </w:t>
      </w:r>
      <w:r w:rsidRPr="00923A66">
        <w:t>others</w:t>
      </w:r>
      <w:r>
        <w:t xml:space="preserve"> in </w:t>
      </w:r>
      <w:r w:rsidR="00F55907">
        <w:t>governments, not</w:t>
      </w:r>
      <w:r w:rsidR="00EF40B0">
        <w:noBreakHyphen/>
      </w:r>
      <w:r w:rsidR="00F55907">
        <w:t>for</w:t>
      </w:r>
      <w:r w:rsidR="00EF40B0">
        <w:noBreakHyphen/>
      </w:r>
      <w:r w:rsidR="00F55907">
        <w:t xml:space="preserve">profits and </w:t>
      </w:r>
      <w:r>
        <w:t>business</w:t>
      </w:r>
      <w:r w:rsidR="00A57AE9">
        <w:t>es</w:t>
      </w:r>
      <w:r>
        <w:t xml:space="preserve"> have reduced processing timeframes</w:t>
      </w:r>
      <w:r w:rsidR="001A1CBE">
        <w:t xml:space="preserve">. </w:t>
      </w:r>
    </w:p>
    <w:p w14:paraId="4D2B55F5" w14:textId="77777777" w:rsidR="003D082A" w:rsidRDefault="003D082A">
      <w:pPr>
        <w:spacing w:before="0" w:after="160" w:line="259" w:lineRule="auto"/>
      </w:pPr>
      <w:r>
        <w:br w:type="page"/>
      </w:r>
    </w:p>
    <w:p w14:paraId="05875363" w14:textId="77777777" w:rsidR="00A02457" w:rsidRPr="00B96FF5" w:rsidRDefault="00A02457" w:rsidP="00B96FF5">
      <w:pPr>
        <w:pStyle w:val="Heading3"/>
      </w:pPr>
      <w:bookmarkStart w:id="132" w:name="_Toc108786459"/>
      <w:r w:rsidRPr="00B96FF5">
        <w:lastRenderedPageBreak/>
        <w:t>Communication with the applicant</w:t>
      </w:r>
      <w:bookmarkEnd w:id="132"/>
      <w:r w:rsidRPr="00B96FF5">
        <w:t xml:space="preserve"> </w:t>
      </w:r>
    </w:p>
    <w:p w14:paraId="3396C1FA" w14:textId="6F38A635" w:rsidR="00A02457" w:rsidRPr="008929AF" w:rsidRDefault="00A02457" w:rsidP="00975036">
      <w:pPr>
        <w:pStyle w:val="numberedtext"/>
        <w:numPr>
          <w:ilvl w:val="0"/>
          <w:numId w:val="24"/>
        </w:numPr>
        <w:rPr>
          <w:rFonts w:cstheme="minorHAnsi"/>
        </w:rPr>
      </w:pPr>
      <w:r w:rsidRPr="008929AF">
        <w:rPr>
          <w:rFonts w:cstheme="minorHAnsi"/>
        </w:rPr>
        <w:t xml:space="preserve">Communication with ASIC during the application process was raised by industry stakeholders in both targeted interviews and the </w:t>
      </w:r>
      <w:r w:rsidR="00D52650">
        <w:rPr>
          <w:rFonts w:cstheme="minorHAnsi"/>
        </w:rPr>
        <w:t>stakeholder</w:t>
      </w:r>
      <w:r w:rsidRPr="008929AF">
        <w:rPr>
          <w:rFonts w:cstheme="minorHAnsi"/>
        </w:rPr>
        <w:t xml:space="preserve"> survey. There were 2 areas of concern. Firstly, some reported frustration around the difficulties contacting ASIC, and a perceived lack of willingness by ASIC staff </w:t>
      </w:r>
      <w:r w:rsidR="00C2652D">
        <w:rPr>
          <w:rFonts w:cstheme="minorHAnsi"/>
        </w:rPr>
        <w:t xml:space="preserve">members </w:t>
      </w:r>
      <w:r w:rsidRPr="008929AF">
        <w:rPr>
          <w:rFonts w:cstheme="minorHAnsi"/>
        </w:rPr>
        <w:t>to discuss their applications. Secondly, there was a perception that ASIC was unnecessarily formal in its communication</w:t>
      </w:r>
      <w:r w:rsidR="001A1CBE" w:rsidRPr="008929AF">
        <w:rPr>
          <w:rFonts w:cstheme="minorHAnsi"/>
        </w:rPr>
        <w:t xml:space="preserve">. </w:t>
      </w:r>
    </w:p>
    <w:p w14:paraId="5AEB44CB" w14:textId="061C97E0" w:rsidR="003857B8" w:rsidRPr="008929AF" w:rsidRDefault="00A02457" w:rsidP="00975036">
      <w:pPr>
        <w:pStyle w:val="numberedtext"/>
        <w:numPr>
          <w:ilvl w:val="0"/>
          <w:numId w:val="24"/>
        </w:numPr>
        <w:rPr>
          <w:rFonts w:cstheme="minorHAnsi"/>
        </w:rPr>
      </w:pPr>
      <w:r w:rsidRPr="008929AF">
        <w:rPr>
          <w:rFonts w:cstheme="minorHAnsi"/>
        </w:rPr>
        <w:t>Some stakeholders in targeted interviews expressed frustration at the difficulties getting analysts to return their phone calls or emails, suggesting that the licensing team appeared routinely to fail to meet their Service Charter commitment to provide prompt and timely responses, and noted that they often seemed unwilling to discuss applications.</w:t>
      </w:r>
      <w:r w:rsidRPr="008929AF">
        <w:rPr>
          <w:rStyle w:val="FootnoteReference"/>
        </w:rPr>
        <w:footnoteReference w:id="180"/>
      </w:r>
      <w:r w:rsidRPr="008929AF">
        <w:rPr>
          <w:rStyle w:val="FootnoteReference"/>
        </w:rPr>
        <w:t xml:space="preserve"> </w:t>
      </w:r>
      <w:r w:rsidRPr="008929AF">
        <w:rPr>
          <w:rFonts w:cstheme="minorHAnsi"/>
        </w:rPr>
        <w:t xml:space="preserve">The lack of prompt and timely responses was particularly relevant to complex applications (see </w:t>
      </w:r>
      <w:r w:rsidR="00842ED7">
        <w:rPr>
          <w:rFonts w:cstheme="minorHAnsi"/>
        </w:rPr>
        <w:t>paragraph </w:t>
      </w:r>
      <w:r w:rsidR="00A6032A">
        <w:rPr>
          <w:rFonts w:cstheme="minorHAnsi"/>
        </w:rPr>
        <w:t>5.31</w:t>
      </w:r>
      <w:r w:rsidRPr="008929AF">
        <w:rPr>
          <w:rFonts w:cstheme="minorHAnsi"/>
        </w:rPr>
        <w:t>). The broader results on ASIC</w:t>
      </w:r>
      <w:r w:rsidR="00EF40B0">
        <w:rPr>
          <w:rFonts w:cstheme="minorHAnsi"/>
        </w:rPr>
        <w:t>’</w:t>
      </w:r>
      <w:r w:rsidRPr="008929AF">
        <w:rPr>
          <w:rFonts w:cstheme="minorHAnsi"/>
        </w:rPr>
        <w:t>s responsiveness from the stakeholder survey were neutral: 32% agreed that they could easily communicate with ASIC</w:t>
      </w:r>
      <w:r w:rsidR="00EF40B0">
        <w:rPr>
          <w:rFonts w:cstheme="minorHAnsi"/>
        </w:rPr>
        <w:t>’</w:t>
      </w:r>
      <w:r w:rsidRPr="008929AF">
        <w:rPr>
          <w:rFonts w:cstheme="minorHAnsi"/>
        </w:rPr>
        <w:t>s team throughout the assessment process while 30% disagreed and the remainder were neutral.</w:t>
      </w:r>
      <w:r w:rsidRPr="008929AF">
        <w:rPr>
          <w:rStyle w:val="FootnoteReference"/>
        </w:rPr>
        <w:footnoteReference w:id="181"/>
      </w:r>
    </w:p>
    <w:p w14:paraId="4FE2202F" w14:textId="17D8565F" w:rsidR="00A02457" w:rsidRPr="008929AF" w:rsidRDefault="00A02457" w:rsidP="00975036">
      <w:pPr>
        <w:pStyle w:val="numberedtext"/>
        <w:numPr>
          <w:ilvl w:val="0"/>
          <w:numId w:val="24"/>
        </w:numPr>
        <w:rPr>
          <w:rFonts w:cstheme="minorHAnsi"/>
        </w:rPr>
      </w:pPr>
      <w:r w:rsidRPr="008929AF">
        <w:rPr>
          <w:rFonts w:cstheme="minorHAnsi"/>
        </w:rPr>
        <w:t>Another example where applicants felt ASIC was unwilling to engage came from the Australian Restructuring Insolvency and Turnaround Association</w:t>
      </w:r>
      <w:r w:rsidR="00EF40B0">
        <w:rPr>
          <w:rFonts w:cstheme="minorHAnsi"/>
        </w:rPr>
        <w:t>’</w:t>
      </w:r>
      <w:r w:rsidRPr="008929AF">
        <w:rPr>
          <w:rFonts w:cstheme="minorHAnsi"/>
        </w:rPr>
        <w:t>s (ARITA) submission in relation to registrations of liquidators. ARITA suggested there could be more sharing of non</w:t>
      </w:r>
      <w:r w:rsidR="00EF40B0">
        <w:rPr>
          <w:rFonts w:cstheme="minorHAnsi"/>
        </w:rPr>
        <w:noBreakHyphen/>
      </w:r>
      <w:r w:rsidRPr="008929AF">
        <w:rPr>
          <w:rFonts w:cstheme="minorHAnsi"/>
        </w:rPr>
        <w:t xml:space="preserve">sensitive information to assist in educating their members and to improve the efficiency of the process. </w:t>
      </w:r>
    </w:p>
    <w:p w14:paraId="30F97B19" w14:textId="10BA8154" w:rsidR="00A02457" w:rsidRPr="008929AF" w:rsidRDefault="00A02457" w:rsidP="00975036">
      <w:pPr>
        <w:pStyle w:val="numberedtext"/>
        <w:numPr>
          <w:ilvl w:val="0"/>
          <w:numId w:val="24"/>
        </w:numPr>
        <w:rPr>
          <w:rFonts w:cstheme="minorHAnsi"/>
        </w:rPr>
      </w:pPr>
      <w:bookmarkStart w:id="133" w:name="_Ref110262580"/>
      <w:r w:rsidRPr="008929AF">
        <w:rPr>
          <w:rFonts w:cstheme="minorHAnsi"/>
        </w:rPr>
        <w:t>ASIC noted the licensing team</w:t>
      </w:r>
      <w:r w:rsidR="00EF40B0">
        <w:rPr>
          <w:rFonts w:cstheme="minorHAnsi"/>
        </w:rPr>
        <w:t>’</w:t>
      </w:r>
      <w:r w:rsidRPr="008929AF">
        <w:rPr>
          <w:rFonts w:cstheme="minorHAnsi"/>
        </w:rPr>
        <w:t>s endeavours to keep applicants informed of the status of applications. The team acknowledges receipt and confirms when</w:t>
      </w:r>
      <w:r w:rsidRPr="008929AF" w:rsidDel="00F20727">
        <w:rPr>
          <w:rFonts w:cstheme="minorHAnsi"/>
        </w:rPr>
        <w:t xml:space="preserve"> </w:t>
      </w:r>
      <w:r w:rsidRPr="008929AF">
        <w:rPr>
          <w:rFonts w:cstheme="minorHAnsi"/>
        </w:rPr>
        <w:t xml:space="preserve">applications have been accepted for assessment, and then updates an applicant within 60 days of initial contact and on every </w:t>
      </w:r>
      <w:r w:rsidR="00B628D3" w:rsidRPr="008929AF">
        <w:rPr>
          <w:rFonts w:cstheme="minorHAnsi"/>
        </w:rPr>
        <w:t>60</w:t>
      </w:r>
      <w:r w:rsidR="00EF40B0">
        <w:rPr>
          <w:rFonts w:cstheme="minorHAnsi"/>
        </w:rPr>
        <w:noBreakHyphen/>
      </w:r>
      <w:r w:rsidR="00B628D3" w:rsidRPr="008929AF">
        <w:rPr>
          <w:rFonts w:cstheme="minorHAnsi"/>
        </w:rPr>
        <w:t>day</w:t>
      </w:r>
      <w:r w:rsidRPr="008929AF">
        <w:rPr>
          <w:rFonts w:cstheme="minorHAnsi"/>
        </w:rPr>
        <w:t xml:space="preserve"> interval until the assessment is finalised.</w:t>
      </w:r>
      <w:r w:rsidRPr="008929AF">
        <w:rPr>
          <w:rStyle w:val="FootnoteReference"/>
        </w:rPr>
        <w:footnoteReference w:id="182"/>
      </w:r>
      <w:r w:rsidRPr="008929AF">
        <w:rPr>
          <w:rFonts w:cstheme="minorHAnsi"/>
        </w:rPr>
        <w:t xml:space="preserve"> ASIC noted that the level of communication with applicants could be affected by staff resourcing particularly in periods of high volume, as experienced over the last few years.</w:t>
      </w:r>
      <w:bookmarkEnd w:id="133"/>
      <w:r w:rsidRPr="008929AF">
        <w:rPr>
          <w:rFonts w:cstheme="minorHAnsi"/>
        </w:rPr>
        <w:t xml:space="preserve"> </w:t>
      </w:r>
    </w:p>
    <w:p w14:paraId="6DF4479E" w14:textId="77777777" w:rsidR="00A02457" w:rsidRPr="008929AF" w:rsidRDefault="00A02457" w:rsidP="00975036">
      <w:pPr>
        <w:pStyle w:val="numberedtext"/>
        <w:numPr>
          <w:ilvl w:val="0"/>
          <w:numId w:val="24"/>
        </w:numPr>
        <w:rPr>
          <w:rFonts w:cstheme="minorHAnsi"/>
        </w:rPr>
      </w:pPr>
      <w:r w:rsidRPr="008929AF">
        <w:rPr>
          <w:rFonts w:cstheme="minorHAnsi"/>
        </w:rPr>
        <w:t>ASIC has a strong preference for its communication with applicants to be in writing.</w:t>
      </w:r>
      <w:r w:rsidRPr="008929AF">
        <w:rPr>
          <w:rStyle w:val="FootnoteReference"/>
        </w:rPr>
        <w:footnoteReference w:id="183"/>
      </w:r>
      <w:r w:rsidRPr="008929AF">
        <w:rPr>
          <w:rStyle w:val="FootnoteReference"/>
        </w:rPr>
        <w:t xml:space="preserve"> </w:t>
      </w:r>
      <w:r w:rsidRPr="008929AF">
        <w:rPr>
          <w:rFonts w:cstheme="minorHAnsi"/>
        </w:rPr>
        <w:t>Industry stakeholders</w:t>
      </w:r>
      <w:r w:rsidRPr="008929AF" w:rsidDel="0013691C">
        <w:rPr>
          <w:rFonts w:cstheme="minorHAnsi"/>
        </w:rPr>
        <w:t xml:space="preserve"> </w:t>
      </w:r>
      <w:r w:rsidRPr="008929AF">
        <w:rPr>
          <w:rFonts w:cstheme="minorHAnsi"/>
        </w:rPr>
        <w:t>suggested the licensing process could be improved by making more use of discussions with applicants.</w:t>
      </w:r>
      <w:r w:rsidRPr="008929AF">
        <w:rPr>
          <w:rStyle w:val="FootnoteReference"/>
        </w:rPr>
        <w:footnoteReference w:id="184"/>
      </w:r>
      <w:r w:rsidRPr="008929AF">
        <w:rPr>
          <w:rFonts w:cstheme="minorHAnsi"/>
        </w:rPr>
        <w:t xml:space="preserve"> Stakeholders noted that verbal discussions would assist ASIC to gain a better understanding of applications. One stakeholder recounted a positive experience where the ASIC analyst telephoned the applicant, discussed the matter and then followed up with a tailored, written request for information. The stakeholder noted this was an efficient way for ASIC to obtain targeted information, instead of requesting a wide range of documents without a discussion as was their more typical experience with ASIC.</w:t>
      </w:r>
      <w:r w:rsidRPr="008929AF">
        <w:rPr>
          <w:rStyle w:val="FootnoteReference"/>
        </w:rPr>
        <w:footnoteReference w:id="185"/>
      </w:r>
      <w:r w:rsidRPr="008929AF">
        <w:rPr>
          <w:rStyle w:val="FootnoteReference"/>
        </w:rPr>
        <w:t xml:space="preserve"> </w:t>
      </w:r>
    </w:p>
    <w:p w14:paraId="4F6C7AEC" w14:textId="47B0C6C3" w:rsidR="00A02457" w:rsidRPr="008929AF" w:rsidRDefault="00A02457" w:rsidP="00975036">
      <w:pPr>
        <w:pStyle w:val="numberedtext"/>
        <w:numPr>
          <w:ilvl w:val="0"/>
          <w:numId w:val="24"/>
        </w:numPr>
        <w:rPr>
          <w:rFonts w:cstheme="minorHAnsi"/>
        </w:rPr>
      </w:pPr>
      <w:r w:rsidRPr="008929AF">
        <w:rPr>
          <w:rFonts w:cstheme="minorHAnsi"/>
        </w:rPr>
        <w:t>A stakeholder in the fintech space was also complimentary of informal licensing information provided through ASIC</w:t>
      </w:r>
      <w:r w:rsidR="00EF40B0">
        <w:rPr>
          <w:rFonts w:cstheme="minorHAnsi"/>
        </w:rPr>
        <w:t>’</w:t>
      </w:r>
      <w:r w:rsidRPr="008929AF">
        <w:rPr>
          <w:rFonts w:cstheme="minorHAnsi"/>
        </w:rPr>
        <w:t>s Innovation Hub.</w:t>
      </w:r>
      <w:r w:rsidRPr="008929AF">
        <w:rPr>
          <w:rStyle w:val="FootnoteReference"/>
        </w:rPr>
        <w:footnoteReference w:id="186"/>
      </w:r>
      <w:r w:rsidRPr="008929AF">
        <w:rPr>
          <w:rStyle w:val="FootnoteReference"/>
        </w:rPr>
        <w:t xml:space="preserve"> </w:t>
      </w:r>
      <w:r w:rsidRPr="008929AF">
        <w:rPr>
          <w:rFonts w:cstheme="minorHAnsi"/>
        </w:rPr>
        <w:t xml:space="preserve">ASIC reported that on average, fintech businesses that engaged with the Innovation Hub before submitting their application for an AFSL or ACL received approval 28% faster than those seeking these licences without assistance (112 days </w:t>
      </w:r>
      <w:r w:rsidRPr="008929AF">
        <w:rPr>
          <w:rFonts w:cstheme="minorHAnsi"/>
        </w:rPr>
        <w:lastRenderedPageBreak/>
        <w:t>compared to 144 days), suggesting there are significant efficiency benefits to increasing this kind of engagement.</w:t>
      </w:r>
      <w:r w:rsidRPr="008929AF">
        <w:rPr>
          <w:rStyle w:val="FootnoteReference"/>
        </w:rPr>
        <w:footnoteReference w:id="187"/>
      </w:r>
    </w:p>
    <w:p w14:paraId="0FB499C3" w14:textId="244D09A1" w:rsidR="00A02457" w:rsidRPr="008929AF" w:rsidRDefault="00A02457" w:rsidP="00975036">
      <w:pPr>
        <w:pStyle w:val="numberedtext"/>
        <w:numPr>
          <w:ilvl w:val="0"/>
          <w:numId w:val="24"/>
        </w:numPr>
        <w:rPr>
          <w:rFonts w:cstheme="minorHAnsi"/>
        </w:rPr>
      </w:pPr>
      <w:r w:rsidRPr="008929AF">
        <w:rPr>
          <w:rFonts w:cstheme="minorHAnsi"/>
        </w:rPr>
        <w:t>The FRAA welcomes the recently announced stocktake of stakeholder engagement by ASIC</w:t>
      </w:r>
      <w:r w:rsidR="00EF40B0">
        <w:rPr>
          <w:rFonts w:cstheme="minorHAnsi"/>
        </w:rPr>
        <w:t>’</w:t>
      </w:r>
      <w:r w:rsidRPr="008929AF">
        <w:rPr>
          <w:rFonts w:cstheme="minorHAnsi"/>
        </w:rPr>
        <w:t xml:space="preserve">s Regulatory Efficiency Unit (refer </w:t>
      </w:r>
      <w:r w:rsidR="00EC570B">
        <w:rPr>
          <w:rFonts w:cstheme="minorHAnsi"/>
        </w:rPr>
        <w:t xml:space="preserve">paragraph </w:t>
      </w:r>
      <w:r w:rsidR="00A6032A">
        <w:rPr>
          <w:rFonts w:cstheme="minorHAnsi"/>
        </w:rPr>
        <w:t>3.56</w:t>
      </w:r>
      <w:r w:rsidRPr="008929AF">
        <w:rPr>
          <w:rFonts w:cstheme="minorHAnsi"/>
        </w:rPr>
        <w:t>) and the identification of licensing as an early case study.</w:t>
      </w:r>
    </w:p>
    <w:p w14:paraId="1E7B8224" w14:textId="1A0434A9" w:rsidR="00A02457" w:rsidRPr="008929AF" w:rsidRDefault="00A02457" w:rsidP="00975036">
      <w:pPr>
        <w:pStyle w:val="numberedtext"/>
        <w:numPr>
          <w:ilvl w:val="0"/>
          <w:numId w:val="24"/>
        </w:numPr>
        <w:rPr>
          <w:rFonts w:cstheme="minorHAnsi"/>
        </w:rPr>
      </w:pPr>
      <w:r w:rsidRPr="008929AF">
        <w:rPr>
          <w:rFonts w:cstheme="minorHAnsi"/>
        </w:rPr>
        <w:t>One stakeholder suggested the use of interviews could improve the licensing regime.</w:t>
      </w:r>
      <w:r w:rsidRPr="008929AF">
        <w:rPr>
          <w:rStyle w:val="FootnoteReference"/>
        </w:rPr>
        <w:footnoteReference w:id="188"/>
      </w:r>
      <w:r w:rsidRPr="008929AF">
        <w:rPr>
          <w:rFonts w:cstheme="minorHAnsi"/>
        </w:rPr>
        <w:t xml:space="preserve"> For example, </w:t>
      </w:r>
      <w:r w:rsidR="003D7FF6">
        <w:rPr>
          <w:rFonts w:cstheme="minorHAnsi"/>
        </w:rPr>
        <w:t xml:space="preserve">the stakeholder suggested </w:t>
      </w:r>
      <w:r w:rsidRPr="008929AF">
        <w:rPr>
          <w:rFonts w:cstheme="minorHAnsi"/>
        </w:rPr>
        <w:t>such discussions may give ASIC an opportunity to test the competency of an applicant and test an applicants</w:t>
      </w:r>
      <w:r w:rsidR="00EF40B0">
        <w:rPr>
          <w:rFonts w:cstheme="minorHAnsi"/>
        </w:rPr>
        <w:t>’</w:t>
      </w:r>
      <w:r w:rsidRPr="008929AF">
        <w:rPr>
          <w:rFonts w:cstheme="minorHAnsi"/>
        </w:rPr>
        <w:t xml:space="preserve"> knowledge, leading to better outcomes.</w:t>
      </w:r>
      <w:r w:rsidRPr="008929AF">
        <w:rPr>
          <w:rStyle w:val="FootnoteReference"/>
        </w:rPr>
        <w:footnoteReference w:id="189"/>
      </w:r>
      <w:r w:rsidRPr="008929AF">
        <w:rPr>
          <w:rStyle w:val="FootnoteReference"/>
        </w:rPr>
        <w:t xml:space="preserve"> </w:t>
      </w:r>
      <w:r w:rsidRPr="008929AF">
        <w:rPr>
          <w:rFonts w:cstheme="minorHAnsi"/>
        </w:rPr>
        <w:t>Other jurisdictions, such as Singapore</w:t>
      </w:r>
      <w:r w:rsidR="00EF40B0">
        <w:rPr>
          <w:rFonts w:cstheme="minorHAnsi"/>
        </w:rPr>
        <w:t>’</w:t>
      </w:r>
      <w:r w:rsidRPr="008929AF">
        <w:rPr>
          <w:rFonts w:cstheme="minorHAnsi"/>
        </w:rPr>
        <w:t>s MAS, the U</w:t>
      </w:r>
      <w:r w:rsidR="00530DAA">
        <w:rPr>
          <w:rFonts w:cstheme="minorHAnsi"/>
        </w:rPr>
        <w:t xml:space="preserve">nited </w:t>
      </w:r>
      <w:r w:rsidRPr="008929AF">
        <w:rPr>
          <w:rFonts w:cstheme="minorHAnsi"/>
        </w:rPr>
        <w:t>K</w:t>
      </w:r>
      <w:r w:rsidR="00530DAA">
        <w:rPr>
          <w:rFonts w:cstheme="minorHAnsi"/>
        </w:rPr>
        <w:t>ingdom</w:t>
      </w:r>
      <w:r w:rsidR="00EF40B0">
        <w:rPr>
          <w:rFonts w:cstheme="minorHAnsi"/>
        </w:rPr>
        <w:t>’</w:t>
      </w:r>
      <w:r w:rsidRPr="008929AF">
        <w:rPr>
          <w:rFonts w:cstheme="minorHAnsi"/>
        </w:rPr>
        <w:t>s FCA, the Dubai Financial Services Authority and the Cayman Islands Monetary Authority, were mentioned as having an interview component to their licensing regimes.</w:t>
      </w:r>
      <w:r w:rsidRPr="008929AF">
        <w:rPr>
          <w:rStyle w:val="FootnoteReference"/>
        </w:rPr>
        <w:footnoteReference w:id="190"/>
      </w:r>
      <w:r w:rsidRPr="008929AF">
        <w:rPr>
          <w:rStyle w:val="FootnoteReference"/>
        </w:rPr>
        <w:t xml:space="preserve"> </w:t>
      </w:r>
    </w:p>
    <w:p w14:paraId="033C70AE" w14:textId="2885EACE" w:rsidR="00A02457" w:rsidRPr="008929AF" w:rsidRDefault="00A02457" w:rsidP="00975036">
      <w:pPr>
        <w:pStyle w:val="numberedtext"/>
        <w:numPr>
          <w:ilvl w:val="0"/>
          <w:numId w:val="24"/>
        </w:numPr>
        <w:rPr>
          <w:rFonts w:cstheme="minorHAnsi"/>
        </w:rPr>
      </w:pPr>
      <w:r w:rsidRPr="008929AF">
        <w:rPr>
          <w:rFonts w:cstheme="minorHAnsi"/>
        </w:rPr>
        <w:t>The FRAA notes Canada</w:t>
      </w:r>
      <w:r w:rsidR="00EF40B0">
        <w:rPr>
          <w:rFonts w:cstheme="minorHAnsi"/>
        </w:rPr>
        <w:t>’</w:t>
      </w:r>
      <w:r w:rsidRPr="008929AF">
        <w:rPr>
          <w:rFonts w:cstheme="minorHAnsi"/>
        </w:rPr>
        <w:t xml:space="preserve">s Ontario Securities Commission </w:t>
      </w:r>
      <w:r w:rsidR="00ED3404">
        <w:rPr>
          <w:rFonts w:cstheme="minorHAnsi"/>
        </w:rPr>
        <w:t xml:space="preserve">(OSC) </w:t>
      </w:r>
      <w:r w:rsidRPr="008929AF">
        <w:rPr>
          <w:rFonts w:cstheme="minorHAnsi"/>
        </w:rPr>
        <w:t xml:space="preserve">introduced a </w:t>
      </w:r>
      <w:r w:rsidR="00EF40B0">
        <w:rPr>
          <w:rFonts w:cstheme="minorHAnsi"/>
        </w:rPr>
        <w:t>‘</w:t>
      </w:r>
      <w:r w:rsidRPr="008929AF">
        <w:rPr>
          <w:rFonts w:cstheme="minorHAnsi"/>
        </w:rPr>
        <w:t>pre</w:t>
      </w:r>
      <w:r w:rsidR="00EF40B0">
        <w:rPr>
          <w:rFonts w:cstheme="minorHAnsi"/>
        </w:rPr>
        <w:noBreakHyphen/>
      </w:r>
      <w:r w:rsidRPr="008929AF">
        <w:rPr>
          <w:rFonts w:cstheme="minorHAnsi"/>
        </w:rPr>
        <w:t>registration interview</w:t>
      </w:r>
      <w:r w:rsidR="00EF40B0">
        <w:rPr>
          <w:rFonts w:cstheme="minorHAnsi"/>
        </w:rPr>
        <w:t>’</w:t>
      </w:r>
      <w:r w:rsidRPr="008929AF">
        <w:rPr>
          <w:rFonts w:cstheme="minorHAnsi"/>
        </w:rPr>
        <w:t xml:space="preserve"> process in 2015 as part of their licensing regime. The OSC reported that the interviews have assisted in their understanding of proposed business activities and also enabled businesses to address potential deficiencies before commencing operations.</w:t>
      </w:r>
      <w:r w:rsidRPr="008929AF">
        <w:rPr>
          <w:rStyle w:val="FootnoteReference"/>
        </w:rPr>
        <w:footnoteReference w:id="191"/>
      </w:r>
    </w:p>
    <w:p w14:paraId="40BB6F45" w14:textId="211B2EC3" w:rsidR="00A02457" w:rsidRPr="008929AF" w:rsidRDefault="00A02457" w:rsidP="00975036">
      <w:pPr>
        <w:pStyle w:val="numberedtext"/>
        <w:numPr>
          <w:ilvl w:val="0"/>
          <w:numId w:val="24"/>
        </w:numPr>
        <w:rPr>
          <w:rFonts w:cstheme="minorHAnsi"/>
        </w:rPr>
      </w:pPr>
      <w:r w:rsidRPr="008929AF">
        <w:rPr>
          <w:rFonts w:cstheme="minorHAnsi"/>
        </w:rPr>
        <w:t>More verbal discussions with applicants may also help ASIC showcase their industry knowledge. Stakeholders, in targeted interviews, noted they would like to see ASIC staff display a greater understanding of different business models. On the other hand, 62% of the licensing team agreed that they received training and knowledge to support the assessment of licence applications.</w:t>
      </w:r>
      <w:r w:rsidRPr="008929AF">
        <w:rPr>
          <w:rStyle w:val="FootnoteReference"/>
        </w:rPr>
        <w:footnoteReference w:id="192"/>
      </w:r>
      <w:r w:rsidRPr="008929AF">
        <w:rPr>
          <w:rFonts w:cstheme="minorHAnsi"/>
        </w:rPr>
        <w:t xml:space="preserve"> Licensing staff </w:t>
      </w:r>
      <w:r w:rsidR="00B8037A">
        <w:rPr>
          <w:rFonts w:cstheme="minorHAnsi"/>
        </w:rPr>
        <w:t xml:space="preserve">members </w:t>
      </w:r>
      <w:r w:rsidRPr="008929AF">
        <w:rPr>
          <w:rFonts w:cstheme="minorHAnsi"/>
        </w:rPr>
        <w:t>have indicated an interest in improving their data literacy and skills around regulatory strategies and interventions.</w:t>
      </w:r>
      <w:r w:rsidRPr="008929AF">
        <w:rPr>
          <w:rStyle w:val="FootnoteReference"/>
        </w:rPr>
        <w:footnoteReference w:id="193"/>
      </w:r>
      <w:r w:rsidRPr="008929AF">
        <w:rPr>
          <w:rStyle w:val="FootnoteReference"/>
        </w:rPr>
        <w:t xml:space="preserve">  </w:t>
      </w:r>
      <w:r w:rsidRPr="008929AF">
        <w:rPr>
          <w:rFonts w:cstheme="minorHAnsi"/>
        </w:rPr>
        <w:t xml:space="preserve">  </w:t>
      </w:r>
    </w:p>
    <w:p w14:paraId="71A87C6A" w14:textId="13F7F81A" w:rsidR="003D082A" w:rsidRDefault="00A02457" w:rsidP="00975036">
      <w:pPr>
        <w:pStyle w:val="numberedtext"/>
        <w:numPr>
          <w:ilvl w:val="0"/>
          <w:numId w:val="24"/>
        </w:numPr>
        <w:rPr>
          <w:rFonts w:cstheme="minorHAnsi"/>
        </w:rPr>
      </w:pPr>
      <w:r w:rsidRPr="008929AF">
        <w:rPr>
          <w:rFonts w:cstheme="minorHAnsi"/>
        </w:rPr>
        <w:t>The FRAA considers that there appears to be scope to improve the licensing function if ASIC displays a greater willingness to engage with applicants. The FRAA supports the Regulatory Efficiency Unit</w:t>
      </w:r>
      <w:r w:rsidR="00EF40B0">
        <w:rPr>
          <w:rFonts w:cstheme="minorHAnsi"/>
        </w:rPr>
        <w:t>’</w:t>
      </w:r>
      <w:r w:rsidRPr="008929AF">
        <w:rPr>
          <w:rFonts w:cstheme="minorHAnsi"/>
        </w:rPr>
        <w:t>s case study of the licensing function. The FRAA notes increasing verbal engagement would be a significant change in the way the team operates and would require appropriate training and systems to ensure staff are capable and confident.</w:t>
      </w:r>
      <w:r w:rsidRPr="008929AF" w:rsidDel="000A270D">
        <w:rPr>
          <w:rFonts w:cstheme="minorHAnsi"/>
        </w:rPr>
        <w:t xml:space="preserve"> </w:t>
      </w:r>
    </w:p>
    <w:p w14:paraId="2AF5B053" w14:textId="77777777" w:rsidR="003D082A" w:rsidRDefault="003D082A">
      <w:pPr>
        <w:spacing w:before="0" w:after="160" w:line="259" w:lineRule="auto"/>
        <w:rPr>
          <w:rFonts w:asciiTheme="minorHAnsi" w:eastAsiaTheme="minorHAnsi" w:hAnsiTheme="minorHAnsi" w:cstheme="minorHAnsi"/>
          <w:szCs w:val="22"/>
          <w:lang w:eastAsia="en-US"/>
        </w:rPr>
      </w:pPr>
      <w:r>
        <w:rPr>
          <w:rFonts w:cstheme="minorHAnsi"/>
        </w:rPr>
        <w:br w:type="page"/>
      </w:r>
    </w:p>
    <w:p w14:paraId="67B9D0E3" w14:textId="77777777" w:rsidR="00A02457" w:rsidRPr="003857B8" w:rsidRDefault="00A02457" w:rsidP="003857B8">
      <w:pPr>
        <w:pStyle w:val="Heading3"/>
      </w:pPr>
      <w:bookmarkStart w:id="134" w:name="_Toc108786460"/>
      <w:r w:rsidRPr="003857B8">
        <w:lastRenderedPageBreak/>
        <w:t>Outcomes of decisions</w:t>
      </w:r>
      <w:bookmarkEnd w:id="134"/>
    </w:p>
    <w:p w14:paraId="5E8F8156" w14:textId="77777777" w:rsidR="00A02457" w:rsidRPr="003857B8" w:rsidRDefault="00A02457" w:rsidP="003857B8">
      <w:pPr>
        <w:pStyle w:val="Heading4"/>
      </w:pPr>
      <w:r w:rsidRPr="003857B8">
        <w:t xml:space="preserve">ASIC conduct robust and fair assessments </w:t>
      </w:r>
    </w:p>
    <w:p w14:paraId="42619729" w14:textId="3C4BFC01" w:rsidR="00A02457" w:rsidRPr="008929AF" w:rsidRDefault="00A02457" w:rsidP="00975036">
      <w:pPr>
        <w:pStyle w:val="numberedtext"/>
        <w:numPr>
          <w:ilvl w:val="0"/>
          <w:numId w:val="24"/>
        </w:numPr>
        <w:rPr>
          <w:rFonts w:cstheme="minorHAnsi"/>
        </w:rPr>
      </w:pPr>
      <w:r w:rsidRPr="008929AF">
        <w:rPr>
          <w:rFonts w:cstheme="minorHAnsi"/>
        </w:rPr>
        <w:t>Stakeholders held a general view that ASIC conducts robust and fair licensing assessments. Fifty per</w:t>
      </w:r>
      <w:r w:rsidR="009C6C91">
        <w:rPr>
          <w:rFonts w:cstheme="minorHAnsi"/>
        </w:rPr>
        <w:t xml:space="preserve"> </w:t>
      </w:r>
      <w:r w:rsidRPr="008929AF">
        <w:rPr>
          <w:rFonts w:cstheme="minorHAnsi"/>
        </w:rPr>
        <w:t>cent of stakeholders and 62% of ASIC staff surveyed agreed that ASIC conducts robust and fair assessments of licence applications.</w:t>
      </w:r>
      <w:r w:rsidRPr="008929AF">
        <w:rPr>
          <w:rStyle w:val="FootnoteReference"/>
        </w:rPr>
        <w:footnoteReference w:id="194"/>
      </w:r>
      <w:r w:rsidRPr="008929AF">
        <w:rPr>
          <w:rStyle w:val="FootnoteReference"/>
        </w:rPr>
        <w:t xml:space="preserve"> </w:t>
      </w:r>
      <w:r w:rsidRPr="008929AF">
        <w:rPr>
          <w:rFonts w:cstheme="minorHAnsi"/>
        </w:rPr>
        <w:t>This was the most positive stakeholder response to the FRAA</w:t>
      </w:r>
      <w:r w:rsidR="00EF40B0">
        <w:rPr>
          <w:rFonts w:cstheme="minorHAnsi"/>
        </w:rPr>
        <w:t>’</w:t>
      </w:r>
      <w:r w:rsidRPr="008929AF">
        <w:rPr>
          <w:rFonts w:cstheme="minorHAnsi"/>
        </w:rPr>
        <w:t>s stakeholder survey</w:t>
      </w:r>
      <w:r w:rsidR="001A1CBE" w:rsidRPr="008929AF">
        <w:rPr>
          <w:rFonts w:cstheme="minorHAnsi"/>
        </w:rPr>
        <w:t xml:space="preserve">. </w:t>
      </w:r>
    </w:p>
    <w:p w14:paraId="0690D519" w14:textId="4EAE1927" w:rsidR="00A02457" w:rsidRPr="008929AF" w:rsidRDefault="00A02457" w:rsidP="00975036">
      <w:pPr>
        <w:pStyle w:val="numberedtext"/>
        <w:numPr>
          <w:ilvl w:val="0"/>
          <w:numId w:val="24"/>
        </w:numPr>
        <w:rPr>
          <w:rFonts w:cstheme="minorHAnsi"/>
        </w:rPr>
      </w:pPr>
      <w:r w:rsidRPr="008929AF">
        <w:rPr>
          <w:rFonts w:cstheme="minorHAnsi"/>
        </w:rPr>
        <w:t>Another way of assessing the outcomes from the licensing process is to analyse the appeals data – a high number of successful appeals would indicate ASIC is refusing too many applications. If the licensing team makes a recommendation to refuse an application, the applicant can withdraw their application or proceed to an ASIC hearing with an ASIC delegate for decision. The delegate</w:t>
      </w:r>
      <w:r w:rsidR="00EF40B0">
        <w:rPr>
          <w:rFonts w:cstheme="minorHAnsi"/>
        </w:rPr>
        <w:t>’</w:t>
      </w:r>
      <w:r w:rsidRPr="008929AF">
        <w:rPr>
          <w:rFonts w:cstheme="minorHAnsi"/>
        </w:rPr>
        <w:t>s decision is reviewable by the Administrative Appeals Tribunal (AAT).</w:t>
      </w:r>
    </w:p>
    <w:p w14:paraId="7D4BDE45" w14:textId="1CD70909" w:rsidR="00A02457" w:rsidRPr="008929AF" w:rsidRDefault="00A02457" w:rsidP="00975036">
      <w:pPr>
        <w:pStyle w:val="numberedtext"/>
        <w:numPr>
          <w:ilvl w:val="0"/>
          <w:numId w:val="24"/>
        </w:numPr>
        <w:rPr>
          <w:rFonts w:cstheme="minorHAnsi"/>
        </w:rPr>
      </w:pPr>
      <w:bookmarkStart w:id="135" w:name="_Ref110262775"/>
      <w:r w:rsidRPr="008929AF">
        <w:rPr>
          <w:rFonts w:cstheme="minorHAnsi"/>
        </w:rPr>
        <w:t>Over the last 3 years, 833 AFSL applications have been refused, withdrawn or rejected (</w:t>
      </w:r>
      <w:r w:rsidR="00A222C6">
        <w:rPr>
          <w:rFonts w:cstheme="minorHAnsi"/>
        </w:rPr>
        <w:t xml:space="preserve">refer </w:t>
      </w:r>
      <w:r w:rsidR="00A6032A" w:rsidRPr="00217CAF">
        <w:t>Figure 5.</w:t>
      </w:r>
      <w:r w:rsidR="00A6032A">
        <w:t>6</w:t>
      </w:r>
      <w:r w:rsidRPr="008929AF">
        <w:rPr>
          <w:rFonts w:cstheme="minorHAnsi"/>
        </w:rPr>
        <w:t>).</w:t>
      </w:r>
      <w:r w:rsidRPr="008929AF">
        <w:rPr>
          <w:rStyle w:val="FootnoteReference"/>
        </w:rPr>
        <w:footnoteReference w:id="195"/>
      </w:r>
      <w:r w:rsidRPr="008929AF">
        <w:rPr>
          <w:rFonts w:cstheme="minorHAnsi"/>
        </w:rPr>
        <w:t xml:space="preserve"> In the same period, 3 applicants </w:t>
      </w:r>
      <w:r w:rsidR="00D13589">
        <w:rPr>
          <w:rFonts w:cstheme="minorHAnsi"/>
        </w:rPr>
        <w:t xml:space="preserve">had their applications </w:t>
      </w:r>
      <w:r w:rsidRPr="008929AF">
        <w:rPr>
          <w:rFonts w:cstheme="minorHAnsi"/>
        </w:rPr>
        <w:t xml:space="preserve">decided </w:t>
      </w:r>
      <w:r w:rsidR="003F3868">
        <w:rPr>
          <w:rFonts w:cstheme="minorHAnsi"/>
        </w:rPr>
        <w:t>by</w:t>
      </w:r>
      <w:r w:rsidRPr="008929AF">
        <w:rPr>
          <w:rFonts w:cstheme="minorHAnsi"/>
        </w:rPr>
        <w:t xml:space="preserve"> an ASIC delegate (all refused), and there have been </w:t>
      </w:r>
      <w:r w:rsidRPr="008929AF" w:rsidDel="00C73BD4">
        <w:rPr>
          <w:rFonts w:cstheme="minorHAnsi"/>
        </w:rPr>
        <w:t>4</w:t>
      </w:r>
      <w:r w:rsidRPr="008929AF">
        <w:rPr>
          <w:rFonts w:cstheme="minorHAnsi"/>
        </w:rPr>
        <w:t xml:space="preserve"> appeals </w:t>
      </w:r>
      <w:r w:rsidR="003F3868">
        <w:rPr>
          <w:rFonts w:cstheme="minorHAnsi"/>
        </w:rPr>
        <w:t>decided at</w:t>
      </w:r>
      <w:r w:rsidRPr="008929AF">
        <w:rPr>
          <w:rFonts w:cstheme="minorHAnsi"/>
        </w:rPr>
        <w:t xml:space="preserve"> the AAT, all upholding ASIC</w:t>
      </w:r>
      <w:r w:rsidR="00EF40B0">
        <w:rPr>
          <w:rFonts w:cstheme="minorHAnsi"/>
        </w:rPr>
        <w:t>’</w:t>
      </w:r>
      <w:r w:rsidRPr="008929AF">
        <w:rPr>
          <w:rFonts w:cstheme="minorHAnsi"/>
        </w:rPr>
        <w:t>s decision to refuse a licence.</w:t>
      </w:r>
      <w:r w:rsidRPr="008929AF">
        <w:rPr>
          <w:rStyle w:val="FootnoteReference"/>
        </w:rPr>
        <w:footnoteReference w:id="196"/>
      </w:r>
      <w:bookmarkEnd w:id="135"/>
    </w:p>
    <w:p w14:paraId="629AF420" w14:textId="56D55E16" w:rsidR="00A02457" w:rsidRDefault="00217CAF" w:rsidP="00217CAF">
      <w:pPr>
        <w:pStyle w:val="FigureMainHeading"/>
      </w:pPr>
      <w:bookmarkStart w:id="136" w:name="Figure_5_6"/>
      <w:r w:rsidRPr="00217CAF">
        <w:t>Figure 5.</w:t>
      </w:r>
      <w:r w:rsidR="00B109DF">
        <w:t>6</w:t>
      </w:r>
      <w:bookmarkEnd w:id="136"/>
      <w:r w:rsidRPr="00217CAF">
        <w:t xml:space="preserve">: AFSL (new and variation) assessments from </w:t>
      </w:r>
      <w:r w:rsidR="00445933">
        <w:t>20</w:t>
      </w:r>
      <w:r w:rsidRPr="00217CAF">
        <w:t>18</w:t>
      </w:r>
      <w:r w:rsidR="00BC37F0">
        <w:t>–</w:t>
      </w:r>
      <w:r w:rsidRPr="00217CAF">
        <w:t xml:space="preserve">19 to </w:t>
      </w:r>
      <w:r w:rsidR="00445933">
        <w:t>20</w:t>
      </w:r>
      <w:r w:rsidRPr="00217CAF">
        <w:t>20</w:t>
      </w:r>
      <w:r w:rsidR="00445933">
        <w:t>–</w:t>
      </w:r>
      <w:r w:rsidRPr="00217CAF">
        <w:t>21 outcomes at end of</w:t>
      </w:r>
      <w:r>
        <w:t> </w:t>
      </w:r>
      <w:r w:rsidR="00015C19">
        <w:t>financial year</w:t>
      </w:r>
      <w:r w:rsidR="00AE5C07">
        <w:rPr>
          <w:rStyle w:val="FootnoteReference"/>
        </w:rPr>
        <w:footnoteReference w:id="197"/>
      </w:r>
    </w:p>
    <w:p w14:paraId="42740233" w14:textId="42AE38D7" w:rsidR="00217CAF" w:rsidRDefault="00217CAF" w:rsidP="00217CAF">
      <w:pPr>
        <w:pStyle w:val="ChartGraphic"/>
      </w:pPr>
      <w:r w:rsidRPr="00087C1C">
        <w:rPr>
          <w:rFonts w:cstheme="minorHAnsi"/>
          <w:noProof/>
        </w:rPr>
        <w:drawing>
          <wp:inline distT="0" distB="0" distL="0" distR="0" wp14:anchorId="2211936B" wp14:editId="608BFE00">
            <wp:extent cx="5341216" cy="2410691"/>
            <wp:effectExtent l="0" t="0" r="0" b="8890"/>
            <wp:docPr id="5" name="Picture 5" descr="Figure 5.6 is a horizontal bar graph. The X axis shows number of assessments and outcomes, from 0 to 2,500. The Y axis shows 3 years. The bar at the bottom is titled “2018-19”, the middle bar is titled “2019-20” and the top bar is titled “2020-21”. Each bar contains 4 colours. Dark blue represents “approved”, light blue represents “refused/withdrawn/rejected”, orange represents “cancelled/suspended” and green represents “in prog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5.6 is a horizontal bar graph. The X axis shows number of assessments and outcomes, from 0 to 2,500. The Y axis shows 3 years. The bar at the bottom is titled “2018-19”, the middle bar is titled “2019-20” and the top bar is titled “2020-21”. Each bar contains 4 colours. Dark blue represents “approved”, light blue represents “refused/withdrawn/rejected”, orange represents “cancelled/suspended” and green represents “in progress”.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0837" cy="2415033"/>
                    </a:xfrm>
                    <a:prstGeom prst="rect">
                      <a:avLst/>
                    </a:prstGeom>
                    <a:noFill/>
                  </pic:spPr>
                </pic:pic>
              </a:graphicData>
            </a:graphic>
          </wp:inline>
        </w:drawing>
      </w:r>
    </w:p>
    <w:p w14:paraId="30C76C32" w14:textId="0E5E64B6" w:rsidR="00217CAF" w:rsidRPr="00217CAF" w:rsidRDefault="00217CAF" w:rsidP="00FD187D">
      <w:pPr>
        <w:pStyle w:val="Source"/>
        <w:spacing w:before="0"/>
      </w:pPr>
      <w:r w:rsidRPr="000354D2">
        <w:t xml:space="preserve">Source: ASIC, </w:t>
      </w:r>
      <w:r w:rsidRPr="005C09A6">
        <w:t>Material supplied to th</w:t>
      </w:r>
      <w:r w:rsidR="0053002A" w:rsidRPr="005C09A6">
        <w:t>is</w:t>
      </w:r>
      <w:r w:rsidRPr="005C09A6">
        <w:t xml:space="preserve"> </w:t>
      </w:r>
      <w:r w:rsidR="005D42B0" w:rsidRPr="005C09A6">
        <w:t>r</w:t>
      </w:r>
      <w:r w:rsidRPr="005C09A6">
        <w:t>eview</w:t>
      </w:r>
      <w:r w:rsidR="0053002A">
        <w:rPr>
          <w:sz w:val="22"/>
          <w:szCs w:val="22"/>
        </w:rPr>
        <w:t xml:space="preserve">, </w:t>
      </w:r>
      <w:r w:rsidR="0053002A" w:rsidRPr="0053002A">
        <w:t>202</w:t>
      </w:r>
      <w:r w:rsidR="002E25D7">
        <w:t>2</w:t>
      </w:r>
      <w:r w:rsidR="0053002A">
        <w:t>.</w:t>
      </w:r>
    </w:p>
    <w:p w14:paraId="25C46660" w14:textId="4F7C90DB" w:rsidR="00217CAF" w:rsidRPr="008929AF" w:rsidRDefault="00217CAF" w:rsidP="00975036">
      <w:pPr>
        <w:pStyle w:val="numberedtext"/>
        <w:numPr>
          <w:ilvl w:val="0"/>
          <w:numId w:val="24"/>
        </w:numPr>
        <w:rPr>
          <w:rFonts w:cstheme="minorHAnsi"/>
        </w:rPr>
      </w:pPr>
      <w:r w:rsidRPr="008929AF">
        <w:rPr>
          <w:rFonts w:cstheme="minorHAnsi"/>
        </w:rPr>
        <w:t xml:space="preserve">While the low </w:t>
      </w:r>
      <w:r w:rsidR="002E25D7">
        <w:rPr>
          <w:rFonts w:cstheme="minorHAnsi"/>
        </w:rPr>
        <w:t>number</w:t>
      </w:r>
      <w:r w:rsidRPr="008929AF">
        <w:rPr>
          <w:rFonts w:cstheme="minorHAnsi"/>
        </w:rPr>
        <w:t xml:space="preserve"> of appeals regarding licensing decisions supports the view that ASIC conducts robust and fair assessments, the FRAA notes it has some limitations. For example, applicants may decide not to appeal a decision to the AAT because of the associated </w:t>
      </w:r>
      <w:r w:rsidR="00D11EBD">
        <w:rPr>
          <w:rFonts w:cstheme="minorHAnsi"/>
        </w:rPr>
        <w:t xml:space="preserve">effort and </w:t>
      </w:r>
      <w:r w:rsidRPr="008929AF">
        <w:rPr>
          <w:rFonts w:cstheme="minorHAnsi"/>
        </w:rPr>
        <w:t>costs or because the applicant decided not to proceed with their business operations for other reasons. Appeals against licensing decisions provide one measure available to ASIC that could indicate whether ASIC are impeding satisfactory applicants from obtaining a licence.</w:t>
      </w:r>
    </w:p>
    <w:p w14:paraId="597F028B" w14:textId="53373EE2" w:rsidR="00A02457" w:rsidRPr="008929AF" w:rsidRDefault="00A02457" w:rsidP="00975036">
      <w:pPr>
        <w:pStyle w:val="numberedtext"/>
        <w:numPr>
          <w:ilvl w:val="0"/>
          <w:numId w:val="24"/>
        </w:numPr>
        <w:rPr>
          <w:rFonts w:cstheme="minorHAnsi"/>
        </w:rPr>
      </w:pPr>
      <w:bookmarkStart w:id="137" w:name="_Ref110262783"/>
      <w:r w:rsidRPr="008929AF">
        <w:rPr>
          <w:rFonts w:cstheme="minorHAnsi"/>
        </w:rPr>
        <w:lastRenderedPageBreak/>
        <w:t>The perception that ASIC conducts robust and fair licensing assessments is also supported by the low levels of complaints data.</w:t>
      </w:r>
      <w:r w:rsidRPr="008929AF">
        <w:rPr>
          <w:rStyle w:val="FootnoteReference"/>
        </w:rPr>
        <w:footnoteReference w:id="198"/>
      </w:r>
      <w:r w:rsidRPr="008929AF">
        <w:rPr>
          <w:rFonts w:cstheme="minorHAnsi"/>
        </w:rPr>
        <w:t xml:space="preserve"> Complaints are low and have declined over the past </w:t>
      </w:r>
      <w:r w:rsidRPr="008929AF" w:rsidDel="1FE1CA19">
        <w:rPr>
          <w:rFonts w:cstheme="minorHAnsi"/>
        </w:rPr>
        <w:t>5</w:t>
      </w:r>
      <w:r w:rsidR="00FD187D">
        <w:rPr>
          <w:rFonts w:cstheme="minorHAnsi"/>
        </w:rPr>
        <w:t> </w:t>
      </w:r>
      <w:r w:rsidRPr="008929AF">
        <w:rPr>
          <w:rFonts w:cstheme="minorHAnsi"/>
        </w:rPr>
        <w:t>years, despite an increased volume of applications.</w:t>
      </w:r>
      <w:r w:rsidRPr="008929AF">
        <w:rPr>
          <w:rStyle w:val="FootnoteReference"/>
        </w:rPr>
        <w:footnoteReference w:id="199"/>
      </w:r>
      <w:r w:rsidRPr="008929AF">
        <w:rPr>
          <w:rFonts w:cstheme="minorHAnsi"/>
        </w:rPr>
        <w:t xml:space="preserve"> In </w:t>
      </w:r>
      <w:r w:rsidR="005629CF">
        <w:rPr>
          <w:rFonts w:cstheme="minorHAnsi"/>
        </w:rPr>
        <w:t>20</w:t>
      </w:r>
      <w:r w:rsidRPr="008929AF">
        <w:rPr>
          <w:rFonts w:cstheme="minorHAnsi"/>
        </w:rPr>
        <w:t>16</w:t>
      </w:r>
      <w:r w:rsidR="005629CF">
        <w:t>–</w:t>
      </w:r>
      <w:r w:rsidRPr="008929AF">
        <w:rPr>
          <w:rFonts w:cstheme="minorHAnsi"/>
        </w:rPr>
        <w:t xml:space="preserve">17 there were 41 complaints received in relation to licensing matters; 9 complaints were substantiated. In </w:t>
      </w:r>
      <w:r w:rsidR="005629CF">
        <w:rPr>
          <w:rFonts w:cstheme="minorHAnsi"/>
        </w:rPr>
        <w:t>20</w:t>
      </w:r>
      <w:r w:rsidRPr="008929AF">
        <w:rPr>
          <w:rFonts w:cstheme="minorHAnsi"/>
        </w:rPr>
        <w:t>20</w:t>
      </w:r>
      <w:r w:rsidR="005629CF">
        <w:t>–</w:t>
      </w:r>
      <w:r w:rsidRPr="008929AF">
        <w:rPr>
          <w:rFonts w:cstheme="minorHAnsi"/>
        </w:rPr>
        <w:t>21, 19</w:t>
      </w:r>
      <w:r w:rsidR="008929AF">
        <w:rPr>
          <w:rFonts w:cstheme="minorHAnsi"/>
        </w:rPr>
        <w:t> </w:t>
      </w:r>
      <w:r w:rsidRPr="008929AF">
        <w:rPr>
          <w:rFonts w:cstheme="minorHAnsi"/>
        </w:rPr>
        <w:t>complaints received, with 3 substantiated complaints.</w:t>
      </w:r>
      <w:r w:rsidRPr="008929AF">
        <w:rPr>
          <w:rStyle w:val="FootnoteReference"/>
        </w:rPr>
        <w:footnoteReference w:id="200"/>
      </w:r>
      <w:r w:rsidRPr="008929AF">
        <w:rPr>
          <w:rStyle w:val="FootnoteReference"/>
        </w:rPr>
        <w:t xml:space="preserve"> </w:t>
      </w:r>
      <w:r w:rsidRPr="008929AF">
        <w:rPr>
          <w:rFonts w:cstheme="minorHAnsi"/>
        </w:rPr>
        <w:t xml:space="preserve">This is a small number given ASIC approved over 1,500 applications for AFSLs and ACLs in </w:t>
      </w:r>
      <w:r w:rsidR="005629CF">
        <w:rPr>
          <w:rFonts w:cstheme="minorHAnsi"/>
        </w:rPr>
        <w:t>20</w:t>
      </w:r>
      <w:r w:rsidRPr="008929AF">
        <w:rPr>
          <w:rFonts w:cstheme="minorHAnsi"/>
        </w:rPr>
        <w:t>16</w:t>
      </w:r>
      <w:r w:rsidR="005629CF">
        <w:t>–</w:t>
      </w:r>
      <w:r w:rsidRPr="008929AF">
        <w:rPr>
          <w:rFonts w:cstheme="minorHAnsi"/>
        </w:rPr>
        <w:t xml:space="preserve">17 and approximately 1,000 in </w:t>
      </w:r>
      <w:r w:rsidR="005629CF">
        <w:rPr>
          <w:rFonts w:cstheme="minorHAnsi"/>
        </w:rPr>
        <w:t>20</w:t>
      </w:r>
      <w:r w:rsidRPr="008929AF">
        <w:rPr>
          <w:rFonts w:cstheme="minorHAnsi"/>
        </w:rPr>
        <w:t>20</w:t>
      </w:r>
      <w:r w:rsidR="005629CF">
        <w:t>–</w:t>
      </w:r>
      <w:r w:rsidRPr="008929AF">
        <w:rPr>
          <w:rFonts w:cstheme="minorHAnsi"/>
        </w:rPr>
        <w:t>21.</w:t>
      </w:r>
      <w:r w:rsidRPr="008929AF">
        <w:rPr>
          <w:rStyle w:val="FootnoteReference"/>
        </w:rPr>
        <w:footnoteReference w:id="201"/>
      </w:r>
      <w:bookmarkEnd w:id="137"/>
      <w:r w:rsidRPr="008929AF">
        <w:rPr>
          <w:rStyle w:val="FootnoteReference"/>
        </w:rPr>
        <w:t xml:space="preserve"> </w:t>
      </w:r>
    </w:p>
    <w:p w14:paraId="78918481" w14:textId="77777777" w:rsidR="00A02457" w:rsidRPr="008929AF" w:rsidRDefault="00A02457" w:rsidP="00975036">
      <w:pPr>
        <w:pStyle w:val="numberedtext"/>
        <w:numPr>
          <w:ilvl w:val="0"/>
          <w:numId w:val="24"/>
        </w:numPr>
        <w:rPr>
          <w:rFonts w:cstheme="minorHAnsi"/>
        </w:rPr>
      </w:pPr>
      <w:r w:rsidRPr="008929AF">
        <w:rPr>
          <w:rFonts w:cstheme="minorHAnsi"/>
        </w:rPr>
        <w:t>Feedback from stakeholders, and data from appeals and complaints supports the view that ASIC conducts robust and fair assessments. While this feedback is reassuring, the FRAA would like to see ASIC more proactively measuring the quality of their licensing decisions (discussed below).</w:t>
      </w:r>
    </w:p>
    <w:p w14:paraId="01954C4B" w14:textId="77777777" w:rsidR="00A02457" w:rsidRPr="009A4468" w:rsidRDefault="00A02457" w:rsidP="009A4468">
      <w:pPr>
        <w:pStyle w:val="Heading3"/>
      </w:pPr>
      <w:bookmarkStart w:id="138" w:name="_Toc108786461"/>
      <w:r w:rsidRPr="009A4468">
        <w:t>Accountability</w:t>
      </w:r>
      <w:bookmarkEnd w:id="138"/>
      <w:r w:rsidRPr="009A4468">
        <w:t xml:space="preserve"> </w:t>
      </w:r>
    </w:p>
    <w:p w14:paraId="579C7D6F" w14:textId="136514BA" w:rsidR="00A02457" w:rsidRPr="008929AF" w:rsidDel="00C83EFE" w:rsidRDefault="00A02457" w:rsidP="00975036">
      <w:pPr>
        <w:pStyle w:val="numberedtext"/>
        <w:numPr>
          <w:ilvl w:val="0"/>
          <w:numId w:val="24"/>
        </w:numPr>
        <w:rPr>
          <w:rFonts w:cstheme="minorHAnsi"/>
        </w:rPr>
      </w:pPr>
      <w:r w:rsidRPr="008929AF">
        <w:rPr>
          <w:rFonts w:cstheme="minorHAnsi"/>
        </w:rPr>
        <w:t>The main focus of ASIC</w:t>
      </w:r>
      <w:r w:rsidR="00EF40B0">
        <w:rPr>
          <w:rFonts w:cstheme="minorHAnsi"/>
        </w:rPr>
        <w:t>’</w:t>
      </w:r>
      <w:r w:rsidRPr="008929AF">
        <w:rPr>
          <w:rFonts w:cstheme="minorHAnsi"/>
        </w:rPr>
        <w:t xml:space="preserve">s licensing reporting is whether it meets the timeliness targets set in the Service Charter. ASIC </w:t>
      </w:r>
      <w:r w:rsidRPr="008929AF" w:rsidDel="00C83EFE">
        <w:rPr>
          <w:rFonts w:cstheme="minorHAnsi"/>
        </w:rPr>
        <w:t xml:space="preserve">does not report on the quality of licensing decisions or the </w:t>
      </w:r>
      <w:r w:rsidRPr="008929AF">
        <w:rPr>
          <w:rFonts w:cstheme="minorHAnsi"/>
        </w:rPr>
        <w:t xml:space="preserve">user </w:t>
      </w:r>
      <w:r w:rsidRPr="008929AF" w:rsidDel="00C83EFE">
        <w:rPr>
          <w:rFonts w:cstheme="minorHAnsi"/>
        </w:rPr>
        <w:t xml:space="preserve">experience of </w:t>
      </w:r>
      <w:r w:rsidRPr="008929AF">
        <w:rPr>
          <w:rFonts w:cstheme="minorHAnsi"/>
        </w:rPr>
        <w:t xml:space="preserve">applicants. </w:t>
      </w:r>
    </w:p>
    <w:p w14:paraId="29850144" w14:textId="60698477" w:rsidR="00A02457" w:rsidRPr="008929AF" w:rsidRDefault="00A02457" w:rsidP="00975036">
      <w:pPr>
        <w:pStyle w:val="numberedtext"/>
        <w:numPr>
          <w:ilvl w:val="0"/>
          <w:numId w:val="24"/>
        </w:numPr>
        <w:rPr>
          <w:rFonts w:cstheme="minorHAnsi"/>
        </w:rPr>
      </w:pPr>
      <w:r w:rsidRPr="008929AF">
        <w:rPr>
          <w:rFonts w:cstheme="minorHAnsi"/>
        </w:rPr>
        <w:t xml:space="preserve">ASIC has generally met the Service Charter targets (refer </w:t>
      </w:r>
      <w:r w:rsidR="00CF19C2">
        <w:rPr>
          <w:rFonts w:cstheme="minorHAnsi"/>
        </w:rPr>
        <w:t xml:space="preserve">paragraph </w:t>
      </w:r>
      <w:r w:rsidR="00A6032A">
        <w:rPr>
          <w:rFonts w:cstheme="minorHAnsi"/>
        </w:rPr>
        <w:t>5.26</w:t>
      </w:r>
      <w:r w:rsidRPr="008929AF">
        <w:rPr>
          <w:rFonts w:cstheme="minorHAnsi"/>
        </w:rPr>
        <w:t xml:space="preserve">) which are based on the total time elapsed before a licensing decision is made. ASIC also annually reports on: </w:t>
      </w:r>
    </w:p>
    <w:p w14:paraId="6E8E48E5" w14:textId="114A2D14" w:rsidR="00A02457" w:rsidRDefault="00A02457" w:rsidP="00923A66">
      <w:pPr>
        <w:pStyle w:val="Bullet"/>
        <w:rPr>
          <w:rFonts w:eastAsiaTheme="minorEastAsia"/>
        </w:rPr>
      </w:pPr>
      <w:r>
        <w:rPr>
          <w:rFonts w:eastAsiaTheme="minorEastAsia"/>
        </w:rPr>
        <w:t>number of applications received and the outcomes (approved, cancelled/suspended, withdrawn or refused)</w:t>
      </w:r>
    </w:p>
    <w:p w14:paraId="638F660F" w14:textId="341D3558" w:rsidR="00A02457" w:rsidRPr="00E05981" w:rsidRDefault="00A02457" w:rsidP="00923A66">
      <w:pPr>
        <w:pStyle w:val="Bullet"/>
        <w:rPr>
          <w:rFonts w:eastAsiaTheme="minorEastAsia"/>
        </w:rPr>
      </w:pPr>
      <w:r w:rsidRPr="00087C1C">
        <w:rPr>
          <w:rFonts w:cstheme="minorHAnsi"/>
        </w:rPr>
        <w:t>number</w:t>
      </w:r>
      <w:r>
        <w:rPr>
          <w:rFonts w:eastAsiaTheme="minorEastAsia"/>
        </w:rPr>
        <w:t xml:space="preserve"> of additional regulatory outcomes (</w:t>
      </w:r>
      <w:r w:rsidR="00DD1E20">
        <w:rPr>
          <w:rFonts w:eastAsiaTheme="minorEastAsia"/>
        </w:rPr>
        <w:t>that is,</w:t>
      </w:r>
      <w:r>
        <w:rPr>
          <w:rFonts w:eastAsiaTheme="minorEastAsia"/>
        </w:rPr>
        <w:t xml:space="preserve"> </w:t>
      </w:r>
      <w:r w:rsidRPr="00923A66">
        <w:rPr>
          <w:rFonts w:eastAsiaTheme="minorEastAsia"/>
        </w:rPr>
        <w:t>imposition</w:t>
      </w:r>
      <w:r>
        <w:rPr>
          <w:rFonts w:eastAsiaTheme="minorEastAsia"/>
        </w:rPr>
        <w:t xml:space="preserve"> of a key person condition or changes to authorisations).</w:t>
      </w:r>
      <w:r>
        <w:rPr>
          <w:rStyle w:val="FootnoteReference"/>
          <w:rFonts w:eastAsiaTheme="minorEastAsia"/>
        </w:rPr>
        <w:footnoteReference w:id="202"/>
      </w:r>
      <w:r>
        <w:rPr>
          <w:rFonts w:eastAsiaTheme="minorEastAsia"/>
        </w:rPr>
        <w:t xml:space="preserve">   </w:t>
      </w:r>
    </w:p>
    <w:p w14:paraId="0F4B4ACF" w14:textId="54A67D97" w:rsidR="00A02457" w:rsidRPr="00975036" w:rsidRDefault="00A02457" w:rsidP="00975036">
      <w:pPr>
        <w:pStyle w:val="numberedtext"/>
        <w:numPr>
          <w:ilvl w:val="0"/>
          <w:numId w:val="24"/>
        </w:numPr>
        <w:rPr>
          <w:rFonts w:cstheme="minorHAnsi"/>
        </w:rPr>
      </w:pPr>
      <w:r w:rsidRPr="00975036">
        <w:rPr>
          <w:rFonts w:cstheme="minorHAnsi"/>
        </w:rPr>
        <w:t>The FRAA encourages ASIC to consider whether the elapsed time method for assessing licensing applications gives ASIC enough information on the efficiency of their operations and gives sufficient scope for comparison with other regulators</w:t>
      </w:r>
      <w:r w:rsidR="001A1CBE" w:rsidRPr="00975036">
        <w:rPr>
          <w:rFonts w:cstheme="minorHAnsi"/>
        </w:rPr>
        <w:t xml:space="preserve">. </w:t>
      </w:r>
    </w:p>
    <w:p w14:paraId="446E1826" w14:textId="1627482A" w:rsidR="00A02457" w:rsidRPr="00975036" w:rsidRDefault="00A02457" w:rsidP="00975036">
      <w:pPr>
        <w:pStyle w:val="numberedtext"/>
        <w:numPr>
          <w:ilvl w:val="0"/>
          <w:numId w:val="24"/>
        </w:numPr>
        <w:rPr>
          <w:rFonts w:cstheme="minorHAnsi"/>
        </w:rPr>
      </w:pPr>
      <w:r w:rsidRPr="00975036">
        <w:rPr>
          <w:rFonts w:cstheme="minorHAnsi"/>
        </w:rPr>
        <w:t xml:space="preserve">ASIC does not have a systematic process to review the quality of its licensing decisions. As discussed at </w:t>
      </w:r>
      <w:r w:rsidR="006468D3">
        <w:rPr>
          <w:rFonts w:cstheme="minorHAnsi"/>
        </w:rPr>
        <w:t xml:space="preserve">paragraph </w:t>
      </w:r>
      <w:r w:rsidR="00A6032A">
        <w:rPr>
          <w:rFonts w:cstheme="minorHAnsi"/>
        </w:rPr>
        <w:t>5.50</w:t>
      </w:r>
      <w:r w:rsidRPr="00975036">
        <w:rPr>
          <w:rFonts w:cstheme="minorHAnsi"/>
        </w:rPr>
        <w:t xml:space="preserve">, AAT reviews are recorded and used by ASIC to support its licensing decisions to providers. Currently ASIC does not track information to support its decisions as to whether recent </w:t>
      </w:r>
      <w:r w:rsidRPr="00D36B9B">
        <w:rPr>
          <w:rFonts w:cstheme="minorHAnsi"/>
        </w:rPr>
        <w:t xml:space="preserve">licensees </w:t>
      </w:r>
      <w:r w:rsidRPr="00975036">
        <w:rPr>
          <w:rFonts w:cstheme="minorHAnsi"/>
        </w:rPr>
        <w:t>are operating competently and honestly. One way this could be done is by recording the level of reports of misconduct of recent licensees</w:t>
      </w:r>
      <w:r w:rsidR="001A1CBE" w:rsidRPr="00975036">
        <w:rPr>
          <w:rFonts w:cstheme="minorHAnsi"/>
        </w:rPr>
        <w:t xml:space="preserve">. </w:t>
      </w:r>
    </w:p>
    <w:p w14:paraId="4EA15028" w14:textId="57B1D453" w:rsidR="00A02457" w:rsidRPr="00975036" w:rsidRDefault="00A02457" w:rsidP="00975036">
      <w:pPr>
        <w:pStyle w:val="numberedtext"/>
        <w:numPr>
          <w:ilvl w:val="0"/>
          <w:numId w:val="24"/>
        </w:numPr>
        <w:rPr>
          <w:rFonts w:cstheme="minorHAnsi"/>
        </w:rPr>
      </w:pPr>
      <w:r w:rsidRPr="00975036">
        <w:rPr>
          <w:rFonts w:cstheme="minorHAnsi"/>
        </w:rPr>
        <w:t>When requested by FRAA</w:t>
      </w:r>
      <w:r w:rsidR="00B836FE">
        <w:rPr>
          <w:rFonts w:cstheme="minorHAnsi"/>
        </w:rPr>
        <w:t>,</w:t>
      </w:r>
      <w:r w:rsidRPr="00975036">
        <w:rPr>
          <w:rFonts w:cstheme="minorHAnsi"/>
        </w:rPr>
        <w:t xml:space="preserve"> ASIC provided a snapshot on reports of misconduct of recently granted licensees. From 1 July 2019 to 29 April 2022, ASIC granted 939 new AFSLs. Of these, 71</w:t>
      </w:r>
      <w:r w:rsidR="00975036">
        <w:rPr>
          <w:rFonts w:cstheme="minorHAnsi"/>
        </w:rPr>
        <w:t> </w:t>
      </w:r>
      <w:r w:rsidRPr="00975036">
        <w:rPr>
          <w:rFonts w:cstheme="minorHAnsi"/>
        </w:rPr>
        <w:t>licensees (7.6%) had been subject to reports of misconduct, and of those, only 3 licensees (0.3%) were subject to enforcement investigations.</w:t>
      </w:r>
    </w:p>
    <w:p w14:paraId="1D8CED05" w14:textId="68CFD487" w:rsidR="00A02457" w:rsidRPr="00975036" w:rsidRDefault="00A02457" w:rsidP="00975036">
      <w:pPr>
        <w:pStyle w:val="numberedtext"/>
        <w:numPr>
          <w:ilvl w:val="0"/>
          <w:numId w:val="24"/>
        </w:numPr>
        <w:rPr>
          <w:rFonts w:cstheme="minorHAnsi"/>
        </w:rPr>
      </w:pPr>
      <w:r w:rsidRPr="00975036">
        <w:rPr>
          <w:rFonts w:cstheme="minorHAnsi"/>
        </w:rPr>
        <w:t>Reports of misconduct can be an indicator of concern regarding the actions of licensees, but has limitations as a tool for assessing the effectiveness of the licensing function:</w:t>
      </w:r>
    </w:p>
    <w:p w14:paraId="426D8E2A" w14:textId="279ED5D9" w:rsidR="00A02457" w:rsidRPr="00D45FE2" w:rsidRDefault="00A02457" w:rsidP="00923A66">
      <w:pPr>
        <w:pStyle w:val="Bullet"/>
      </w:pPr>
      <w:r w:rsidRPr="00D45FE2">
        <w:t>Licensing is a point</w:t>
      </w:r>
      <w:r w:rsidR="00EF40B0">
        <w:noBreakHyphen/>
      </w:r>
      <w:r w:rsidRPr="00D45FE2">
        <w:t xml:space="preserve">in time assessment. Poor conduct by a licensee at a later time </w:t>
      </w:r>
      <w:r>
        <w:t xml:space="preserve">may have been unforeseeable by ASIC as the </w:t>
      </w:r>
      <w:r w:rsidRPr="00923A66">
        <w:t>time</w:t>
      </w:r>
      <w:r>
        <w:t xml:space="preserve"> it made its assessment.</w:t>
      </w:r>
      <w:r w:rsidRPr="00D45FE2">
        <w:t xml:space="preserve"> </w:t>
      </w:r>
    </w:p>
    <w:p w14:paraId="7FF3C7AE" w14:textId="77777777" w:rsidR="00A02457" w:rsidRPr="00D45FE2" w:rsidRDefault="00A02457" w:rsidP="00923A66">
      <w:pPr>
        <w:pStyle w:val="Bullet"/>
      </w:pPr>
      <w:r w:rsidRPr="00D45FE2">
        <w:t xml:space="preserve">Every report of misconduct is </w:t>
      </w:r>
      <w:r w:rsidRPr="00923A66">
        <w:t>recorded</w:t>
      </w:r>
      <w:r w:rsidRPr="00D45FE2">
        <w:t xml:space="preserve"> by ASIC, but </w:t>
      </w:r>
      <w:r>
        <w:t xml:space="preserve">not all </w:t>
      </w:r>
      <w:r w:rsidRPr="00D45FE2">
        <w:t xml:space="preserve">reports are substantiated or require ASIC to take action. </w:t>
      </w:r>
    </w:p>
    <w:p w14:paraId="46406A07" w14:textId="77777777" w:rsidR="00181DCA" w:rsidRPr="00D45FE2" w:rsidRDefault="00181DCA" w:rsidP="00923A66">
      <w:pPr>
        <w:pStyle w:val="Bullet"/>
        <w:rPr>
          <w:rFonts w:eastAsiaTheme="minorHAnsi"/>
        </w:rPr>
      </w:pPr>
      <w:r w:rsidRPr="000A7690">
        <w:lastRenderedPageBreak/>
        <w:t xml:space="preserve">The reasons for when enforcement </w:t>
      </w:r>
      <w:r w:rsidRPr="00923A66">
        <w:t>investigations</w:t>
      </w:r>
      <w:r w:rsidRPr="000A7690">
        <w:t xml:space="preserve"> are undertaken should be considered – whether the misconduct could have been detected by the licensing assessment.</w:t>
      </w:r>
      <w:r w:rsidRPr="00D65691">
        <w:rPr>
          <w:rStyle w:val="FootnoteReference"/>
          <w:rFonts w:cstheme="minorHAnsi"/>
        </w:rPr>
        <w:footnoteReference w:id="203"/>
      </w:r>
    </w:p>
    <w:p w14:paraId="30306649" w14:textId="440C810D" w:rsidR="00A02457" w:rsidRPr="00D45FE2" w:rsidRDefault="00A02457" w:rsidP="00923A66">
      <w:pPr>
        <w:pStyle w:val="Bullet"/>
      </w:pPr>
      <w:r>
        <w:t>Some b</w:t>
      </w:r>
      <w:r w:rsidRPr="00D45FE2">
        <w:t xml:space="preserve">enchmarking </w:t>
      </w:r>
      <w:r>
        <w:t>is</w:t>
      </w:r>
      <w:r w:rsidRPr="00D45FE2">
        <w:t xml:space="preserve"> required. It is not </w:t>
      </w:r>
      <w:r w:rsidRPr="00923A66">
        <w:t>clear</w:t>
      </w:r>
      <w:r w:rsidRPr="00D45FE2">
        <w:t xml:space="preserve"> how many reports of misconduct would be acceptable for </w:t>
      </w:r>
      <w:r>
        <w:t xml:space="preserve">a </w:t>
      </w:r>
      <w:r w:rsidRPr="00D45FE2">
        <w:t>licensing function</w:t>
      </w:r>
      <w:r>
        <w:t xml:space="preserve"> to be considered effective</w:t>
      </w:r>
      <w:r w:rsidRPr="00D45FE2">
        <w:t>, or for how many years after a licence is granted that ASIC</w:t>
      </w:r>
      <w:r w:rsidR="00EF40B0">
        <w:t>’</w:t>
      </w:r>
      <w:r w:rsidRPr="00D45FE2">
        <w:t>s gatekeeper role is being judged.</w:t>
      </w:r>
    </w:p>
    <w:p w14:paraId="4BD0CCE5" w14:textId="07D36244" w:rsidR="00A02457" w:rsidRPr="00975036" w:rsidRDefault="00A02457" w:rsidP="00975036">
      <w:pPr>
        <w:pStyle w:val="numberedtext"/>
        <w:numPr>
          <w:ilvl w:val="0"/>
          <w:numId w:val="24"/>
        </w:numPr>
        <w:rPr>
          <w:rFonts w:cstheme="minorHAnsi"/>
        </w:rPr>
      </w:pPr>
      <w:r w:rsidRPr="00975036">
        <w:rPr>
          <w:rFonts w:cstheme="minorHAnsi"/>
        </w:rPr>
        <w:t>The FRAA suggests that ASIC could consider systematically monitoring reports of misconduct data on recently granted licences. While not a perfect measure, when considered with other data such as the AAT appeals, it can be a useful indicator to track the licensing function</w:t>
      </w:r>
      <w:r w:rsidR="00EF40B0">
        <w:rPr>
          <w:rFonts w:cstheme="minorHAnsi"/>
        </w:rPr>
        <w:t>’</w:t>
      </w:r>
      <w:r w:rsidRPr="00975036">
        <w:rPr>
          <w:rFonts w:cstheme="minorHAnsi"/>
        </w:rPr>
        <w:t xml:space="preserve">s effectiveness. </w:t>
      </w:r>
    </w:p>
    <w:p w14:paraId="5D190FD6" w14:textId="3B0084E1" w:rsidR="00A02457" w:rsidRPr="00975036" w:rsidRDefault="00A02457" w:rsidP="00975036">
      <w:pPr>
        <w:pStyle w:val="numberedtext"/>
        <w:numPr>
          <w:ilvl w:val="0"/>
          <w:numId w:val="24"/>
        </w:numPr>
        <w:rPr>
          <w:rFonts w:cstheme="minorHAnsi"/>
        </w:rPr>
      </w:pPr>
      <w:r w:rsidRPr="00975036">
        <w:rPr>
          <w:rFonts w:cstheme="minorHAnsi"/>
        </w:rPr>
        <w:t xml:space="preserve">Unlike </w:t>
      </w:r>
      <w:r w:rsidR="0075011A">
        <w:rPr>
          <w:rFonts w:cstheme="minorHAnsi"/>
        </w:rPr>
        <w:t>so</w:t>
      </w:r>
      <w:r w:rsidR="00DA2103">
        <w:rPr>
          <w:rFonts w:cstheme="minorHAnsi"/>
        </w:rPr>
        <w:t>me</w:t>
      </w:r>
      <w:r w:rsidRPr="00975036">
        <w:rPr>
          <w:rFonts w:cstheme="minorHAnsi"/>
        </w:rPr>
        <w:t xml:space="preserve"> other regulators, ASIC does not have a systematic process to measure the </w:t>
      </w:r>
      <w:r w:rsidR="00EF40B0">
        <w:rPr>
          <w:rFonts w:cstheme="minorHAnsi"/>
        </w:rPr>
        <w:t>‘</w:t>
      </w:r>
      <w:r w:rsidRPr="00975036">
        <w:rPr>
          <w:rFonts w:cstheme="minorHAnsi"/>
        </w:rPr>
        <w:t>user</w:t>
      </w:r>
      <w:r w:rsidR="00EF40B0">
        <w:rPr>
          <w:rFonts w:cstheme="minorHAnsi"/>
        </w:rPr>
        <w:t>’</w:t>
      </w:r>
      <w:r w:rsidRPr="00975036">
        <w:rPr>
          <w:rFonts w:cstheme="minorHAnsi"/>
        </w:rPr>
        <w:t xml:space="preserve"> experience of licence applicants and licensees. For example, New Zealand</w:t>
      </w:r>
      <w:r w:rsidR="00EF40B0">
        <w:rPr>
          <w:rFonts w:cstheme="minorHAnsi"/>
        </w:rPr>
        <w:t>’</w:t>
      </w:r>
      <w:r w:rsidRPr="00975036">
        <w:rPr>
          <w:rFonts w:cstheme="minorHAnsi"/>
        </w:rPr>
        <w:t xml:space="preserve">s Financial Markets Authority </w:t>
      </w:r>
      <w:r w:rsidR="00F504DE">
        <w:rPr>
          <w:rFonts w:cstheme="minorHAnsi"/>
        </w:rPr>
        <w:t>(FMA)</w:t>
      </w:r>
      <w:r w:rsidRPr="00975036">
        <w:rPr>
          <w:rFonts w:cstheme="minorHAnsi"/>
        </w:rPr>
        <w:t xml:space="preserve"> conducts an annual </w:t>
      </w:r>
      <w:r w:rsidR="00EF40B0">
        <w:rPr>
          <w:rFonts w:cstheme="minorHAnsi"/>
        </w:rPr>
        <w:t>‘</w:t>
      </w:r>
      <w:r w:rsidRPr="00975036">
        <w:rPr>
          <w:rFonts w:cstheme="minorHAnsi"/>
        </w:rPr>
        <w:t>Ease of Doing Business</w:t>
      </w:r>
      <w:r w:rsidR="00EF40B0">
        <w:rPr>
          <w:rFonts w:cstheme="minorHAnsi"/>
        </w:rPr>
        <w:t>’</w:t>
      </w:r>
      <w:r w:rsidRPr="00975036">
        <w:rPr>
          <w:rFonts w:cstheme="minorHAnsi"/>
        </w:rPr>
        <w:t xml:space="preserve"> survey where corporate entities share feedback on their perception of and interactions with their regulator.</w:t>
      </w:r>
      <w:r w:rsidRPr="00975036">
        <w:rPr>
          <w:rStyle w:val="FootnoteReference"/>
        </w:rPr>
        <w:footnoteReference w:id="204"/>
      </w:r>
      <w:r w:rsidRPr="00975036">
        <w:rPr>
          <w:rFonts w:cstheme="minorHAnsi"/>
        </w:rPr>
        <w:t xml:space="preserve"> While complaints data is measured (refer </w:t>
      </w:r>
      <w:r w:rsidR="00755A99">
        <w:rPr>
          <w:rFonts w:cstheme="minorHAnsi"/>
        </w:rPr>
        <w:t xml:space="preserve">paragraph </w:t>
      </w:r>
      <w:r w:rsidR="00A6032A">
        <w:rPr>
          <w:rFonts w:cstheme="minorHAnsi"/>
        </w:rPr>
        <w:t>5.52</w:t>
      </w:r>
      <w:r w:rsidRPr="00975036">
        <w:rPr>
          <w:rFonts w:cstheme="minorHAnsi"/>
        </w:rPr>
        <w:t>), satisfaction of user experience is not captured. ASIC could also monitor and report on user experience to identify areas for further improvement.</w:t>
      </w:r>
    </w:p>
    <w:p w14:paraId="25816660" w14:textId="2EAD289F" w:rsidR="00A02457" w:rsidRPr="00975036" w:rsidRDefault="00A02457" w:rsidP="00975036">
      <w:pPr>
        <w:pStyle w:val="numberedtext"/>
        <w:numPr>
          <w:ilvl w:val="0"/>
          <w:numId w:val="24"/>
        </w:numPr>
        <w:rPr>
          <w:rFonts w:cstheme="minorHAnsi"/>
        </w:rPr>
      </w:pPr>
      <w:r w:rsidRPr="00975036">
        <w:rPr>
          <w:rFonts w:cstheme="minorHAnsi"/>
        </w:rPr>
        <w:t xml:space="preserve">The FRAA considers there are a number of ways ASIC may enhance the effectiveness and capability of its licensing function including by better measuring, assessing, and reporting on key metrics. This chapter makes some suggestions around potential metrics and considers a more systematic review would be beneficial (refer </w:t>
      </w:r>
      <w:r w:rsidR="00755A99">
        <w:rPr>
          <w:rFonts w:cstheme="minorHAnsi"/>
        </w:rPr>
        <w:t xml:space="preserve">paragraph </w:t>
      </w:r>
      <w:r w:rsidR="00A6032A">
        <w:rPr>
          <w:rFonts w:cstheme="minorHAnsi"/>
        </w:rPr>
        <w:t>6.26</w:t>
      </w:r>
      <w:r w:rsidRPr="00975036">
        <w:rPr>
          <w:rFonts w:cstheme="minorHAnsi"/>
        </w:rPr>
        <w:t>)</w:t>
      </w:r>
      <w:r w:rsidR="00C606AD">
        <w:rPr>
          <w:rFonts w:cstheme="minorHAnsi"/>
        </w:rPr>
        <w:t xml:space="preserve">. </w:t>
      </w:r>
    </w:p>
    <w:p w14:paraId="70413E59" w14:textId="77777777" w:rsidR="00A02457" w:rsidRPr="009A4468" w:rsidRDefault="00A02457" w:rsidP="003D082A">
      <w:pPr>
        <w:pStyle w:val="Heading2"/>
        <w:rPr>
          <w:rFonts w:eastAsiaTheme="minorEastAsia"/>
        </w:rPr>
      </w:pPr>
      <w:bookmarkStart w:id="139" w:name="_Toc110241836"/>
      <w:r w:rsidRPr="009A4468">
        <w:rPr>
          <w:rFonts w:eastAsiaTheme="minorEastAsia"/>
        </w:rPr>
        <w:t xml:space="preserve">Planned </w:t>
      </w:r>
      <w:r w:rsidRPr="003D082A">
        <w:rPr>
          <w:rFonts w:eastAsiaTheme="minorEastAsia"/>
        </w:rPr>
        <w:t>initiatives</w:t>
      </w:r>
      <w:bookmarkEnd w:id="139"/>
      <w:r w:rsidRPr="009A4468">
        <w:rPr>
          <w:rFonts w:eastAsiaTheme="minorEastAsia"/>
        </w:rPr>
        <w:t xml:space="preserve"> </w:t>
      </w:r>
    </w:p>
    <w:p w14:paraId="1201D57F" w14:textId="593F7C54" w:rsidR="00A02457" w:rsidRPr="00975036" w:rsidRDefault="00A02457" w:rsidP="00975036">
      <w:pPr>
        <w:pStyle w:val="numberedtext"/>
        <w:numPr>
          <w:ilvl w:val="0"/>
          <w:numId w:val="24"/>
        </w:numPr>
        <w:rPr>
          <w:rFonts w:cstheme="minorHAnsi"/>
        </w:rPr>
      </w:pPr>
      <w:r w:rsidRPr="00975036">
        <w:rPr>
          <w:rFonts w:cstheme="minorHAnsi"/>
        </w:rPr>
        <w:t xml:space="preserve">Throughout this </w:t>
      </w:r>
      <w:r w:rsidR="005D42B0">
        <w:rPr>
          <w:rFonts w:cstheme="minorHAnsi"/>
        </w:rPr>
        <w:t>r</w:t>
      </w:r>
      <w:r w:rsidRPr="00975036">
        <w:rPr>
          <w:rFonts w:cstheme="minorHAnsi"/>
        </w:rPr>
        <w:t xml:space="preserve">eview, ASIC has identified initiatives that will likely improve the effectiveness and capability of its licensing function. These are summarised in </w:t>
      </w:r>
      <w:r w:rsidR="00A6032A" w:rsidRPr="00C9586D">
        <w:rPr>
          <w:rFonts w:eastAsia="Calibri"/>
        </w:rPr>
        <w:t>Box 5.</w:t>
      </w:r>
      <w:r w:rsidR="00A6032A">
        <w:rPr>
          <w:rFonts w:eastAsia="Calibri"/>
        </w:rPr>
        <w:t>2</w:t>
      </w:r>
      <w:r w:rsidRPr="00975036">
        <w:rPr>
          <w:rFonts w:cstheme="minorHAnsi"/>
        </w:rPr>
        <w:t>.</w:t>
      </w:r>
    </w:p>
    <w:tbl>
      <w:tblPr>
        <w:tblStyle w:val="TableGrid1"/>
        <w:tblW w:w="0" w:type="auto"/>
        <w:tblInd w:w="567" w:type="dxa"/>
        <w:shd w:val="clear" w:color="auto" w:fill="EAEAEA" w:themeFill="background2"/>
        <w:tblCellMar>
          <w:top w:w="170" w:type="dxa"/>
          <w:left w:w="170" w:type="dxa"/>
          <w:bottom w:w="170" w:type="dxa"/>
          <w:right w:w="170" w:type="dxa"/>
        </w:tblCellMar>
        <w:tblLook w:val="04A0" w:firstRow="1" w:lastRow="0" w:firstColumn="1" w:lastColumn="0" w:noHBand="0" w:noVBand="1"/>
      </w:tblPr>
      <w:tblGrid>
        <w:gridCol w:w="8503"/>
      </w:tblGrid>
      <w:tr w:rsidR="00A02457" w:rsidRPr="00C9586D" w14:paraId="063C0201" w14:textId="77777777" w:rsidTr="003D082A">
        <w:tc>
          <w:tcPr>
            <w:tcW w:w="9016" w:type="dxa"/>
            <w:tcBorders>
              <w:top w:val="nil"/>
              <w:left w:val="nil"/>
              <w:bottom w:val="nil"/>
              <w:right w:val="nil"/>
            </w:tcBorders>
            <w:shd w:val="clear" w:color="auto" w:fill="EAEAEA" w:themeFill="background2"/>
          </w:tcPr>
          <w:p w14:paraId="6B6811AC" w14:textId="008BA7D9" w:rsidR="00A02457" w:rsidRPr="00C9586D" w:rsidRDefault="00A02457" w:rsidP="003D082A">
            <w:pPr>
              <w:pStyle w:val="BoxHeading"/>
              <w:keepNext w:val="0"/>
              <w:ind w:left="0" w:firstLine="0"/>
              <w:jc w:val="left"/>
              <w:rPr>
                <w:rFonts w:eastAsia="Calibri"/>
              </w:rPr>
            </w:pPr>
            <w:bookmarkStart w:id="140" w:name="Box_5_2"/>
            <w:r w:rsidRPr="00C9586D">
              <w:rPr>
                <w:rFonts w:eastAsia="Calibri"/>
              </w:rPr>
              <w:t>Box 5.</w:t>
            </w:r>
            <w:r w:rsidR="0092269E">
              <w:rPr>
                <w:rFonts w:eastAsia="Calibri"/>
              </w:rPr>
              <w:t>2</w:t>
            </w:r>
            <w:bookmarkEnd w:id="140"/>
            <w:r w:rsidRPr="00C9586D">
              <w:rPr>
                <w:rFonts w:eastAsia="Calibri"/>
              </w:rPr>
              <w:t xml:space="preserve">: </w:t>
            </w:r>
            <w:r>
              <w:rPr>
                <w:rFonts w:eastAsia="Calibri"/>
              </w:rPr>
              <w:t xml:space="preserve">Current </w:t>
            </w:r>
            <w:r w:rsidRPr="00C9586D">
              <w:rPr>
                <w:rFonts w:eastAsia="Calibri"/>
              </w:rPr>
              <w:t>ASIC actions to improve the effectiveness and capability of</w:t>
            </w:r>
            <w:r w:rsidR="003D082A">
              <w:rPr>
                <w:rFonts w:eastAsia="Calibri"/>
              </w:rPr>
              <w:t> </w:t>
            </w:r>
            <w:r w:rsidRPr="00C9586D">
              <w:rPr>
                <w:rFonts w:eastAsia="Calibri"/>
              </w:rPr>
              <w:t>licensing</w:t>
            </w:r>
          </w:p>
          <w:p w14:paraId="127AD797" w14:textId="37199EFF" w:rsidR="00A02457" w:rsidRPr="00037036" w:rsidRDefault="00A02457" w:rsidP="003D082A">
            <w:pPr>
              <w:pStyle w:val="BoxBullet"/>
              <w:rPr>
                <w:rFonts w:eastAsia="Calibri"/>
              </w:rPr>
            </w:pPr>
            <w:r w:rsidRPr="00037036">
              <w:rPr>
                <w:rFonts w:eastAsia="Calibri"/>
              </w:rPr>
              <w:t>Upgrad</w:t>
            </w:r>
            <w:r>
              <w:rPr>
                <w:rFonts w:eastAsia="Calibri"/>
              </w:rPr>
              <w:t>ing</w:t>
            </w:r>
            <w:r w:rsidRPr="00037036">
              <w:rPr>
                <w:rFonts w:eastAsia="Calibri"/>
              </w:rPr>
              <w:t xml:space="preserve"> its licensing portal for licensing applications or registrations to improve </w:t>
            </w:r>
            <w:r>
              <w:rPr>
                <w:rFonts w:eastAsia="Calibri"/>
              </w:rPr>
              <w:t xml:space="preserve">the user experience and improve licensing timeframes </w:t>
            </w:r>
            <w:r w:rsidRPr="00037036">
              <w:rPr>
                <w:rFonts w:eastAsia="Calibri"/>
              </w:rPr>
              <w:t xml:space="preserve">(commence </w:t>
            </w:r>
            <w:r w:rsidR="005629CF">
              <w:rPr>
                <w:rFonts w:eastAsia="Calibri"/>
              </w:rPr>
              <w:t>20</w:t>
            </w:r>
            <w:r w:rsidRPr="00037036">
              <w:rPr>
                <w:rFonts w:eastAsia="Calibri"/>
              </w:rPr>
              <w:t>22</w:t>
            </w:r>
            <w:r w:rsidR="005629CF">
              <w:t>–</w:t>
            </w:r>
            <w:r w:rsidRPr="00037036">
              <w:rPr>
                <w:rFonts w:eastAsia="Calibri"/>
              </w:rPr>
              <w:t>23)</w:t>
            </w:r>
            <w:r>
              <w:rPr>
                <w:rFonts w:eastAsia="Calibri"/>
              </w:rPr>
              <w:t xml:space="preserve">. </w:t>
            </w:r>
          </w:p>
          <w:p w14:paraId="0DAD891C" w14:textId="1E70D4BE" w:rsidR="00A02457" w:rsidRPr="00037036" w:rsidRDefault="00A02457" w:rsidP="003D082A">
            <w:pPr>
              <w:pStyle w:val="BoxBullet"/>
              <w:rPr>
                <w:rFonts w:eastAsia="Calibri"/>
              </w:rPr>
            </w:pPr>
            <w:r w:rsidRPr="00037036">
              <w:rPr>
                <w:rFonts w:eastAsia="Calibri"/>
              </w:rPr>
              <w:t>Streamlin</w:t>
            </w:r>
            <w:r>
              <w:rPr>
                <w:rFonts w:eastAsia="Calibri"/>
              </w:rPr>
              <w:t xml:space="preserve">ing </w:t>
            </w:r>
            <w:r w:rsidRPr="00037036">
              <w:rPr>
                <w:rFonts w:eastAsia="Calibri"/>
              </w:rPr>
              <w:t>and automat</w:t>
            </w:r>
            <w:r w:rsidR="00245A38">
              <w:rPr>
                <w:rFonts w:eastAsia="Calibri"/>
              </w:rPr>
              <w:t>ing</w:t>
            </w:r>
            <w:r w:rsidRPr="00037036">
              <w:rPr>
                <w:rFonts w:eastAsia="Calibri"/>
              </w:rPr>
              <w:t xml:space="preserve"> aspects of the licensing assessment process through a new workflow system that will integrate the licensing portal into ASIC</w:t>
            </w:r>
            <w:r w:rsidR="00EF40B0">
              <w:rPr>
                <w:rFonts w:eastAsia="Calibri"/>
              </w:rPr>
              <w:t>’</w:t>
            </w:r>
            <w:r w:rsidRPr="00037036">
              <w:rPr>
                <w:rFonts w:eastAsia="Calibri"/>
              </w:rPr>
              <w:t xml:space="preserve">s CRM </w:t>
            </w:r>
            <w:r w:rsidR="003E1E7C">
              <w:rPr>
                <w:rFonts w:eastAsia="Calibri"/>
              </w:rPr>
              <w:t>system</w:t>
            </w:r>
            <w:r w:rsidRPr="00037036">
              <w:rPr>
                <w:rFonts w:eastAsia="Calibri"/>
              </w:rPr>
              <w:t xml:space="preserve"> (commence </w:t>
            </w:r>
            <w:r w:rsidR="005629CF">
              <w:rPr>
                <w:rFonts w:eastAsia="Calibri"/>
              </w:rPr>
              <w:t>20</w:t>
            </w:r>
            <w:r w:rsidRPr="00037036">
              <w:rPr>
                <w:rFonts w:eastAsia="Calibri"/>
              </w:rPr>
              <w:t>22</w:t>
            </w:r>
            <w:r w:rsidR="005629CF">
              <w:t>–</w:t>
            </w:r>
            <w:r w:rsidRPr="00037036">
              <w:rPr>
                <w:rFonts w:eastAsia="Calibri"/>
              </w:rPr>
              <w:t>23)</w:t>
            </w:r>
            <w:r>
              <w:rPr>
                <w:rFonts w:eastAsia="Calibri"/>
              </w:rPr>
              <w:t>.</w:t>
            </w:r>
            <w:r w:rsidRPr="00037036">
              <w:rPr>
                <w:rFonts w:eastAsia="Calibri"/>
              </w:rPr>
              <w:t xml:space="preserve"> </w:t>
            </w:r>
          </w:p>
          <w:p w14:paraId="5571B510" w14:textId="781E68FC" w:rsidR="00A02457" w:rsidRPr="00037036" w:rsidRDefault="00A02457" w:rsidP="003D082A">
            <w:pPr>
              <w:pStyle w:val="BoxBullet"/>
              <w:rPr>
                <w:rFonts w:eastAsia="Calibri"/>
              </w:rPr>
            </w:pPr>
            <w:r w:rsidRPr="00037036">
              <w:rPr>
                <w:rFonts w:eastAsia="Calibri"/>
              </w:rPr>
              <w:t>Consider</w:t>
            </w:r>
            <w:r>
              <w:rPr>
                <w:rFonts w:eastAsia="Calibri"/>
              </w:rPr>
              <w:t xml:space="preserve">ing </w:t>
            </w:r>
            <w:r w:rsidRPr="00037036">
              <w:rPr>
                <w:rFonts w:eastAsia="Calibri"/>
              </w:rPr>
              <w:t>ASIC</w:t>
            </w:r>
            <w:r w:rsidR="00EF40B0">
              <w:rPr>
                <w:rFonts w:eastAsia="Calibri"/>
              </w:rPr>
              <w:t>’</w:t>
            </w:r>
            <w:r w:rsidRPr="00037036">
              <w:rPr>
                <w:rFonts w:eastAsia="Calibri"/>
              </w:rPr>
              <w:t>s approach to enhance stakeholder engagement, with the licensing function as a case study, through the Regulatory Efficiency Unit (</w:t>
            </w:r>
            <w:r w:rsidR="005629CF">
              <w:rPr>
                <w:rFonts w:eastAsia="Calibri"/>
              </w:rPr>
              <w:t>20</w:t>
            </w:r>
            <w:r w:rsidRPr="00037036">
              <w:rPr>
                <w:rFonts w:eastAsia="Calibri"/>
              </w:rPr>
              <w:t>22</w:t>
            </w:r>
            <w:r w:rsidR="005629CF">
              <w:t>–</w:t>
            </w:r>
            <w:r w:rsidRPr="00037036">
              <w:rPr>
                <w:rFonts w:eastAsia="Calibri"/>
              </w:rPr>
              <w:t xml:space="preserve">23 to </w:t>
            </w:r>
            <w:r w:rsidR="005629CF">
              <w:rPr>
                <w:rFonts w:eastAsia="Calibri"/>
              </w:rPr>
              <w:br/>
              <w:t>20</w:t>
            </w:r>
            <w:r w:rsidRPr="00037036">
              <w:rPr>
                <w:rFonts w:eastAsia="Calibri"/>
              </w:rPr>
              <w:t>23</w:t>
            </w:r>
            <w:r w:rsidR="005629CF">
              <w:t>–</w:t>
            </w:r>
            <w:r w:rsidRPr="00037036">
              <w:rPr>
                <w:rFonts w:eastAsia="Calibri"/>
              </w:rPr>
              <w:t>24)</w:t>
            </w:r>
            <w:r>
              <w:rPr>
                <w:rFonts w:eastAsia="Calibri"/>
              </w:rPr>
              <w:t xml:space="preserve">. </w:t>
            </w:r>
          </w:p>
        </w:tc>
      </w:tr>
    </w:tbl>
    <w:p w14:paraId="47259603" w14:textId="77777777" w:rsidR="00181DCA" w:rsidRPr="009A4468" w:rsidRDefault="00181DCA" w:rsidP="00181DCA">
      <w:pPr>
        <w:pStyle w:val="Heading2"/>
        <w:rPr>
          <w:rFonts w:eastAsiaTheme="minorEastAsia"/>
        </w:rPr>
      </w:pPr>
      <w:bookmarkStart w:id="141" w:name="_Toc110241837"/>
      <w:r w:rsidRPr="009A4468">
        <w:rPr>
          <w:rFonts w:eastAsiaTheme="minorEastAsia"/>
        </w:rPr>
        <w:lastRenderedPageBreak/>
        <w:t>Assessment</w:t>
      </w:r>
      <w:bookmarkEnd w:id="141"/>
      <w:r w:rsidRPr="009A4468">
        <w:rPr>
          <w:rFonts w:eastAsiaTheme="minorEastAsia"/>
        </w:rPr>
        <w:t xml:space="preserve"> </w:t>
      </w:r>
    </w:p>
    <w:p w14:paraId="07F8CD08" w14:textId="78760C27" w:rsidR="00181DCA" w:rsidRPr="00975036" w:rsidRDefault="00181DCA" w:rsidP="00975036">
      <w:pPr>
        <w:pStyle w:val="numberedtext"/>
        <w:numPr>
          <w:ilvl w:val="0"/>
          <w:numId w:val="24"/>
        </w:numPr>
        <w:rPr>
          <w:rFonts w:cstheme="minorHAnsi"/>
        </w:rPr>
      </w:pPr>
      <w:r w:rsidRPr="00975036">
        <w:rPr>
          <w:rFonts w:cstheme="minorHAnsi"/>
        </w:rPr>
        <w:t>The FRAA</w:t>
      </w:r>
      <w:r w:rsidR="00EF40B0">
        <w:rPr>
          <w:rFonts w:cstheme="minorHAnsi"/>
        </w:rPr>
        <w:t>’</w:t>
      </w:r>
      <w:r w:rsidRPr="00975036">
        <w:rPr>
          <w:rFonts w:cstheme="minorHAnsi"/>
        </w:rPr>
        <w:t>s overall assessment is that ASIC</w:t>
      </w:r>
      <w:r w:rsidR="00EF40B0">
        <w:rPr>
          <w:rFonts w:cstheme="minorHAnsi"/>
        </w:rPr>
        <w:t>’</w:t>
      </w:r>
      <w:r w:rsidRPr="00975036">
        <w:rPr>
          <w:rFonts w:cstheme="minorHAnsi"/>
        </w:rPr>
        <w:t xml:space="preserve">s licensing function is broadly effective, and the licensing team is capable </w:t>
      </w:r>
      <w:r w:rsidR="00A02457" w:rsidRPr="00975036">
        <w:rPr>
          <w:rFonts w:cstheme="minorHAnsi"/>
        </w:rPr>
        <w:t>although somewhat constrained by limited resourcing and technology. Feedback from stakeholders supports</w:t>
      </w:r>
      <w:r w:rsidRPr="00975036">
        <w:rPr>
          <w:rFonts w:cstheme="minorHAnsi"/>
        </w:rPr>
        <w:t xml:space="preserve"> the view that ASIC undertakes robust and effective licensing decisions, but could benefit from more resourcing.</w:t>
      </w:r>
    </w:p>
    <w:p w14:paraId="6EDE5A82" w14:textId="77777777" w:rsidR="00A02457" w:rsidRPr="00975036" w:rsidRDefault="00A02457" w:rsidP="00975036">
      <w:pPr>
        <w:pStyle w:val="numberedtext"/>
        <w:numPr>
          <w:ilvl w:val="0"/>
          <w:numId w:val="24"/>
        </w:numPr>
        <w:rPr>
          <w:rFonts w:cstheme="minorHAnsi"/>
        </w:rPr>
      </w:pPr>
      <w:r w:rsidRPr="00975036">
        <w:rPr>
          <w:rFonts w:cstheme="minorHAnsi"/>
        </w:rPr>
        <w:t xml:space="preserve">ASIC staff and stakeholder feedback suggest that better technology, data and systems will improve the efficiency of the licensing process, thereby reducing both the time taken to process applications and the burden experienced by applicants. </w:t>
      </w:r>
    </w:p>
    <w:p w14:paraId="63432CAE" w14:textId="13CF0761" w:rsidR="00A02457" w:rsidRPr="00975036" w:rsidRDefault="00A02457" w:rsidP="00975036">
      <w:pPr>
        <w:pStyle w:val="numberedtext"/>
        <w:numPr>
          <w:ilvl w:val="0"/>
          <w:numId w:val="24"/>
        </w:numPr>
        <w:rPr>
          <w:rFonts w:cstheme="minorHAnsi"/>
        </w:rPr>
      </w:pPr>
      <w:r w:rsidRPr="00975036">
        <w:rPr>
          <w:rFonts w:cstheme="minorHAnsi"/>
        </w:rPr>
        <w:t>The FRAA considers that additional emphasis on the user experience including the advantages of ASIC</w:t>
      </w:r>
      <w:r w:rsidR="00EF40B0">
        <w:rPr>
          <w:rFonts w:cstheme="minorHAnsi"/>
        </w:rPr>
        <w:t>’</w:t>
      </w:r>
      <w:r w:rsidRPr="00975036">
        <w:rPr>
          <w:rFonts w:cstheme="minorHAnsi"/>
        </w:rPr>
        <w:t xml:space="preserve">s licensing staff to willingly engaging in more verbal communication with applicants would improve the effectiveness of the licensing function. Such verbal engagement is consistent with the </w:t>
      </w:r>
      <w:r w:rsidR="002D67F1">
        <w:rPr>
          <w:rFonts w:cstheme="minorHAnsi"/>
        </w:rPr>
        <w:t>C</w:t>
      </w:r>
      <w:r w:rsidRPr="00975036">
        <w:rPr>
          <w:rFonts w:cstheme="minorHAnsi"/>
        </w:rPr>
        <w:t>hair</w:t>
      </w:r>
      <w:r w:rsidR="00EF40B0">
        <w:rPr>
          <w:rFonts w:cstheme="minorHAnsi"/>
        </w:rPr>
        <w:t>’</w:t>
      </w:r>
      <w:r w:rsidRPr="00975036">
        <w:rPr>
          <w:rFonts w:cstheme="minorHAnsi"/>
        </w:rPr>
        <w:t xml:space="preserve">s objective of a confident regulator. </w:t>
      </w:r>
    </w:p>
    <w:p w14:paraId="2315E801" w14:textId="1DB528C4" w:rsidR="00A02457" w:rsidRPr="00975036" w:rsidRDefault="00A02457" w:rsidP="00975036">
      <w:pPr>
        <w:pStyle w:val="numberedtext"/>
        <w:numPr>
          <w:ilvl w:val="0"/>
          <w:numId w:val="24"/>
        </w:numPr>
        <w:rPr>
          <w:rFonts w:cstheme="minorHAnsi"/>
        </w:rPr>
      </w:pPr>
      <w:r w:rsidRPr="00975036">
        <w:rPr>
          <w:rFonts w:cstheme="minorHAnsi"/>
        </w:rPr>
        <w:t>ASIC should consider whether it can better measure, assess and report on the effectiveness and capability of its licensing function through the data it monitors and reports on. Routinely measuring reports of misconduct data on recently granted licences and AAT reviews will complement existing data that ASIC reports on and assist ASIC in tracking its performance. Collecting data on the applicant</w:t>
      </w:r>
      <w:r w:rsidR="00EF40B0">
        <w:rPr>
          <w:rFonts w:cstheme="minorHAnsi"/>
        </w:rPr>
        <w:t>’</w:t>
      </w:r>
      <w:r w:rsidRPr="00975036">
        <w:rPr>
          <w:rFonts w:cstheme="minorHAnsi"/>
        </w:rPr>
        <w:t>s user experience could also help ASIC to assess whether they are meeting community expectations and identify key areas for improvement</w:t>
      </w:r>
      <w:r w:rsidR="001A1CBE" w:rsidRPr="00975036">
        <w:rPr>
          <w:rFonts w:cstheme="minorHAnsi"/>
        </w:rPr>
        <w:t xml:space="preserve">. </w:t>
      </w:r>
    </w:p>
    <w:p w14:paraId="415ED280" w14:textId="77777777" w:rsidR="00181DCA" w:rsidRPr="00C96A6D" w:rsidRDefault="00181DCA" w:rsidP="00C96A6D"/>
    <w:p w14:paraId="33D5CC7E" w14:textId="77777777" w:rsidR="00C24291" w:rsidRDefault="00C24291" w:rsidP="00B96E03">
      <w:pPr>
        <w:pStyle w:val="Heading1"/>
        <w:sectPr w:rsidR="00C24291" w:rsidSect="00526D0C">
          <w:type w:val="oddPage"/>
          <w:pgSz w:w="11906" w:h="16838" w:code="9"/>
          <w:pgMar w:top="1418" w:right="1418" w:bottom="1418" w:left="1418" w:header="709" w:footer="709" w:gutter="0"/>
          <w:cols w:space="708"/>
          <w:docGrid w:linePitch="360"/>
        </w:sectPr>
      </w:pPr>
    </w:p>
    <w:p w14:paraId="53342F51" w14:textId="53CC3AEF" w:rsidR="00E474CC" w:rsidRPr="00E474CC" w:rsidRDefault="00E474CC" w:rsidP="00B96E03">
      <w:pPr>
        <w:pStyle w:val="Heading1"/>
      </w:pPr>
      <w:bookmarkStart w:id="142" w:name="_Toc110241838"/>
      <w:bookmarkStart w:id="143" w:name="_Ref110261640"/>
      <w:r w:rsidRPr="00E474CC">
        <w:lastRenderedPageBreak/>
        <w:t xml:space="preserve">Chapter 6: Outcomes </w:t>
      </w:r>
      <w:r w:rsidR="00615619">
        <w:t>of this</w:t>
      </w:r>
      <w:r w:rsidRPr="00E474CC">
        <w:t xml:space="preserve"> </w:t>
      </w:r>
      <w:r w:rsidR="005D42B0">
        <w:t>r</w:t>
      </w:r>
      <w:r w:rsidRPr="00E474CC">
        <w:t>eview</w:t>
      </w:r>
      <w:bookmarkEnd w:id="142"/>
      <w:bookmarkEnd w:id="143"/>
    </w:p>
    <w:p w14:paraId="19C5C153" w14:textId="77777777" w:rsidR="00322780" w:rsidRPr="00322780" w:rsidRDefault="00322780" w:rsidP="00322780">
      <w:pPr>
        <w:pStyle w:val="Heading2"/>
        <w:rPr>
          <w:rFonts w:eastAsiaTheme="minorHAnsi"/>
        </w:rPr>
      </w:pPr>
      <w:bookmarkStart w:id="144" w:name="_Toc110241839"/>
      <w:r w:rsidRPr="00322780">
        <w:rPr>
          <w:rFonts w:eastAsiaTheme="minorHAnsi"/>
        </w:rPr>
        <w:t>Introduction</w:t>
      </w:r>
      <w:bookmarkEnd w:id="144"/>
      <w:r w:rsidRPr="00322780">
        <w:rPr>
          <w:rFonts w:eastAsiaTheme="minorHAnsi"/>
        </w:rPr>
        <w:t xml:space="preserve"> </w:t>
      </w:r>
    </w:p>
    <w:p w14:paraId="5296572E" w14:textId="24A00F3F" w:rsidR="00322780" w:rsidRDefault="00322780" w:rsidP="00975036">
      <w:pPr>
        <w:pStyle w:val="numberedtext"/>
        <w:numPr>
          <w:ilvl w:val="0"/>
          <w:numId w:val="21"/>
        </w:numPr>
        <w:ind w:left="567" w:hanging="567"/>
      </w:pPr>
      <w:r>
        <w:t>The previous chapters have set out the evidence considered by the FRAA relati</w:t>
      </w:r>
      <w:r w:rsidR="00FB49A6">
        <w:t>ng</w:t>
      </w:r>
      <w:r>
        <w:t xml:space="preserve"> to the </w:t>
      </w:r>
      <w:r w:rsidRPr="00C509EF">
        <w:t>3</w:t>
      </w:r>
      <w:r w:rsidR="00217CAF">
        <w:t> </w:t>
      </w:r>
      <w:r w:rsidRPr="00C509EF">
        <w:t>functional areas</w:t>
      </w:r>
      <w:r>
        <w:t xml:space="preserve"> in</w:t>
      </w:r>
      <w:r w:rsidR="00EF40B0">
        <w:noBreakHyphen/>
      </w:r>
      <w:r>
        <w:t xml:space="preserve">scope </w:t>
      </w:r>
      <w:r w:rsidR="00ED0593">
        <w:t>for</w:t>
      </w:r>
      <w:r>
        <w:t xml:space="preserve"> this </w:t>
      </w:r>
      <w:r w:rsidR="005D42B0">
        <w:t>r</w:t>
      </w:r>
      <w:r>
        <w:t>eview</w:t>
      </w:r>
      <w:r w:rsidRPr="00C509EF">
        <w:t xml:space="preserve">: </w:t>
      </w:r>
      <w:r>
        <w:t>ASIC</w:t>
      </w:r>
      <w:r w:rsidR="00EF40B0">
        <w:t>’</w:t>
      </w:r>
      <w:r>
        <w:t>s</w:t>
      </w:r>
      <w:r w:rsidRPr="00C509EF">
        <w:t xml:space="preserve"> strategic prioritisation, planning and decision</w:t>
      </w:r>
      <w:r w:rsidR="00EF40B0">
        <w:noBreakHyphen/>
      </w:r>
      <w:r w:rsidRPr="00C509EF">
        <w:t>making (</w:t>
      </w:r>
      <w:r w:rsidR="00ED0593">
        <w:t xml:space="preserve">refer </w:t>
      </w:r>
      <w:r w:rsidR="00A6032A" w:rsidRPr="00E26C84">
        <w:t>Chapter 3: Strategic prioritisation, planning and decision</w:t>
      </w:r>
      <w:r w:rsidR="00A6032A">
        <w:noBreakHyphen/>
      </w:r>
      <w:r w:rsidR="00A6032A" w:rsidRPr="00E26C84">
        <w:t>making</w:t>
      </w:r>
      <w:r w:rsidRPr="00C509EF">
        <w:t>), surveillance (</w:t>
      </w:r>
      <w:r w:rsidR="00ED0593">
        <w:t xml:space="preserve">refer </w:t>
      </w:r>
      <w:r w:rsidR="00A6032A" w:rsidRPr="00D37AF6">
        <w:t>Chapter 4: Surveillance</w:t>
      </w:r>
      <w:r w:rsidRPr="00C509EF">
        <w:t>) and licensing (</w:t>
      </w:r>
      <w:r w:rsidR="00ED0593">
        <w:t xml:space="preserve">refer </w:t>
      </w:r>
      <w:r w:rsidR="00A6032A" w:rsidRPr="006A54F7">
        <w:t>Chapter 5: Licensing</w:t>
      </w:r>
      <w:r w:rsidRPr="00C509EF">
        <w:t>).</w:t>
      </w:r>
    </w:p>
    <w:p w14:paraId="6C9B6B3B" w14:textId="18B30F31" w:rsidR="00322780" w:rsidRDefault="00322780" w:rsidP="00975036">
      <w:pPr>
        <w:pStyle w:val="numberedtext"/>
        <w:numPr>
          <w:ilvl w:val="0"/>
          <w:numId w:val="21"/>
        </w:numPr>
        <w:ind w:left="567" w:hanging="567"/>
      </w:pPr>
      <w:r w:rsidRPr="00EC6BC0">
        <w:t xml:space="preserve">A number of common themes emerged during this </w:t>
      </w:r>
      <w:r w:rsidR="005D42B0">
        <w:t>r</w:t>
      </w:r>
      <w:r w:rsidRPr="00EC6BC0">
        <w:t>eview that form the basis of the FRAA</w:t>
      </w:r>
      <w:r w:rsidR="00EF40B0">
        <w:t>’</w:t>
      </w:r>
      <w:r w:rsidRPr="00EC6BC0">
        <w:t>s recommendations. These themes relate to ASIC</w:t>
      </w:r>
      <w:r w:rsidR="00EF40B0">
        <w:t>’</w:t>
      </w:r>
      <w:r w:rsidRPr="00EC6BC0">
        <w:t xml:space="preserve">s </w:t>
      </w:r>
      <w:r w:rsidR="00047648">
        <w:t>data and</w:t>
      </w:r>
      <w:r w:rsidRPr="00EC6BC0">
        <w:t xml:space="preserve"> technology capability, the nature of its relationships particularly with external stakeholders</w:t>
      </w:r>
      <w:r>
        <w:t>,</w:t>
      </w:r>
      <w:r w:rsidRPr="00EC6BC0">
        <w:t xml:space="preserve"> the need for it to assess the outcomes of its activities</w:t>
      </w:r>
      <w:r>
        <w:t xml:space="preserve"> and the </w:t>
      </w:r>
      <w:r w:rsidRPr="00EC6BC0">
        <w:t>skill sets of its people</w:t>
      </w:r>
      <w:r>
        <w:t xml:space="preserve"> to support these areas.</w:t>
      </w:r>
    </w:p>
    <w:p w14:paraId="216DA960" w14:textId="31B6E675" w:rsidR="00322780" w:rsidRPr="00EC6BC0" w:rsidRDefault="00322780" w:rsidP="00975036">
      <w:pPr>
        <w:pStyle w:val="numberedtext"/>
        <w:numPr>
          <w:ilvl w:val="0"/>
          <w:numId w:val="21"/>
        </w:numPr>
        <w:ind w:left="567" w:hanging="567"/>
      </w:pPr>
      <w:r w:rsidRPr="00B86018">
        <w:t>In this chapter the FRAA makes recommendations which</w:t>
      </w:r>
      <w:r w:rsidR="0091240E">
        <w:t>,</w:t>
      </w:r>
      <w:r w:rsidRPr="00B86018">
        <w:t xml:space="preserve"> if implemented</w:t>
      </w:r>
      <w:r w:rsidR="0091240E">
        <w:t>,</w:t>
      </w:r>
      <w:r w:rsidRPr="00B86018">
        <w:t xml:space="preserve"> </w:t>
      </w:r>
      <w:r w:rsidR="00D35E4C">
        <w:t>should</w:t>
      </w:r>
      <w:r w:rsidRPr="00B86018">
        <w:t xml:space="preserve"> improve the effectiveness and capability of ASIC and fulfill the ASIC Chair</w:t>
      </w:r>
      <w:r w:rsidR="00EF40B0">
        <w:t>’</w:t>
      </w:r>
      <w:r w:rsidRPr="00B86018">
        <w:t xml:space="preserve">s vision of </w:t>
      </w:r>
      <w:r>
        <w:t xml:space="preserve">being an </w:t>
      </w:r>
      <w:r w:rsidRPr="00CE5C83">
        <w:t>ambitious, confident and digitally enabled regulator</w:t>
      </w:r>
      <w:r w:rsidRPr="00B86018">
        <w:t xml:space="preserve">. </w:t>
      </w:r>
    </w:p>
    <w:p w14:paraId="070793EE" w14:textId="77777777" w:rsidR="00322780" w:rsidRPr="00322780" w:rsidRDefault="00322780" w:rsidP="00322780">
      <w:pPr>
        <w:pStyle w:val="Heading2"/>
        <w:rPr>
          <w:rFonts w:eastAsiaTheme="minorHAnsi"/>
        </w:rPr>
      </w:pPr>
      <w:bookmarkStart w:id="145" w:name="_Toc110241840"/>
      <w:r w:rsidRPr="00322780">
        <w:rPr>
          <w:rFonts w:eastAsiaTheme="minorHAnsi"/>
        </w:rPr>
        <w:t>Data and technology</w:t>
      </w:r>
      <w:bookmarkEnd w:id="145"/>
    </w:p>
    <w:p w14:paraId="48C2D2F3" w14:textId="22C789C1" w:rsidR="00322780" w:rsidRDefault="00322780" w:rsidP="00975036">
      <w:pPr>
        <w:pStyle w:val="numberedtext"/>
        <w:numPr>
          <w:ilvl w:val="0"/>
          <w:numId w:val="21"/>
        </w:numPr>
        <w:ind w:left="567" w:hanging="567"/>
      </w:pPr>
      <w:r w:rsidRPr="008946B3">
        <w:t xml:space="preserve">The </w:t>
      </w:r>
      <w:r w:rsidR="009F381B">
        <w:t>G</w:t>
      </w:r>
      <w:r w:rsidRPr="008946B3">
        <w:t>overnment</w:t>
      </w:r>
      <w:r w:rsidR="00EF40B0">
        <w:t>’</w:t>
      </w:r>
      <w:r w:rsidRPr="008946B3">
        <w:t xml:space="preserve">s </w:t>
      </w:r>
      <w:r>
        <w:t>R</w:t>
      </w:r>
      <w:r w:rsidRPr="008946B3">
        <w:t xml:space="preserve">egulator </w:t>
      </w:r>
      <w:r>
        <w:t>P</w:t>
      </w:r>
      <w:r w:rsidRPr="008946B3">
        <w:t xml:space="preserve">erformance </w:t>
      </w:r>
      <w:r>
        <w:t>G</w:t>
      </w:r>
      <w:r w:rsidRPr="008946B3">
        <w:t>uide suggests that data and digital technology can be leveraged to help regulators better understand and manage risks</w:t>
      </w:r>
      <w:r>
        <w:t>.</w:t>
      </w:r>
      <w:r w:rsidRPr="00BF2FB4">
        <w:t xml:space="preserve"> This requires building capability and having the right infrastructure to support effective data use and digital literacy.</w:t>
      </w:r>
      <w:r>
        <w:rPr>
          <w:rStyle w:val="FootnoteReference"/>
          <w:sz w:val="22"/>
        </w:rPr>
        <w:footnoteReference w:id="205"/>
      </w:r>
      <w:r w:rsidRPr="00BF2FB4">
        <w:t xml:space="preserve"> </w:t>
      </w:r>
    </w:p>
    <w:p w14:paraId="7E3887DD" w14:textId="7F2CC9AF" w:rsidR="000B4FBA" w:rsidRPr="002B3FC9" w:rsidRDefault="00322780" w:rsidP="000B4FBA">
      <w:pPr>
        <w:pStyle w:val="Tabletext"/>
        <w:numPr>
          <w:ilvl w:val="0"/>
          <w:numId w:val="21"/>
        </w:numPr>
        <w:ind w:left="567" w:hanging="567"/>
        <w:rPr>
          <w:sz w:val="22"/>
        </w:rPr>
      </w:pPr>
      <w:r>
        <w:rPr>
          <w:sz w:val="22"/>
        </w:rPr>
        <w:t>F</w:t>
      </w:r>
      <w:r w:rsidRPr="00BF2FB4">
        <w:rPr>
          <w:sz w:val="22"/>
        </w:rPr>
        <w:t>or ASIC to remain effective, credible and relevant as Australia</w:t>
      </w:r>
      <w:r w:rsidR="00EF40B0">
        <w:rPr>
          <w:sz w:val="22"/>
        </w:rPr>
        <w:t>’</w:t>
      </w:r>
      <w:r w:rsidRPr="00BF2FB4">
        <w:rPr>
          <w:sz w:val="22"/>
        </w:rPr>
        <w:t>s market conduct regulator into the future, ASIC requires further investments</w:t>
      </w:r>
      <w:r w:rsidR="00AD3B07">
        <w:rPr>
          <w:sz w:val="22"/>
        </w:rPr>
        <w:t xml:space="preserve"> in</w:t>
      </w:r>
      <w:r w:rsidRPr="00BF2FB4">
        <w:rPr>
          <w:sz w:val="22"/>
        </w:rPr>
        <w:t xml:space="preserve"> skilled technology and data specialists and modern technology platforms, analytical tools and digital capabilities. </w:t>
      </w:r>
      <w:r w:rsidR="000B4FBA">
        <w:rPr>
          <w:sz w:val="22"/>
        </w:rPr>
        <w:t>Alongside such investments it is essential that ASIC focuses on the cultural settings necessary to support the benefits of an uplift in these capabilities.</w:t>
      </w:r>
    </w:p>
    <w:p w14:paraId="6B5EF7BE" w14:textId="77777777" w:rsidR="00003830" w:rsidRPr="00EE007B" w:rsidRDefault="00003830" w:rsidP="00003830">
      <w:pPr>
        <w:pStyle w:val="Tabletext"/>
        <w:numPr>
          <w:ilvl w:val="0"/>
          <w:numId w:val="21"/>
        </w:numPr>
        <w:ind w:left="567" w:hanging="567"/>
        <w:rPr>
          <w:sz w:val="22"/>
        </w:rPr>
      </w:pPr>
      <w:r w:rsidRPr="00E8290C">
        <w:rPr>
          <w:sz w:val="22"/>
        </w:rPr>
        <w:t xml:space="preserve">The FRAA considers that improvement in data, analytics and technology capabilities would support </w:t>
      </w:r>
      <w:r w:rsidRPr="00B86018">
        <w:rPr>
          <w:sz w:val="22"/>
        </w:rPr>
        <w:t xml:space="preserve">ASIC to </w:t>
      </w:r>
      <w:r w:rsidRPr="00E8290C">
        <w:rPr>
          <w:sz w:val="22"/>
        </w:rPr>
        <w:t xml:space="preserve">better </w:t>
      </w:r>
      <w:r>
        <w:rPr>
          <w:sz w:val="22"/>
        </w:rPr>
        <w:t>identify and act on emerging harms, set</w:t>
      </w:r>
      <w:r w:rsidRPr="00B86018">
        <w:rPr>
          <w:sz w:val="22"/>
        </w:rPr>
        <w:t xml:space="preserve"> strategic priorities, create efficiencies</w:t>
      </w:r>
      <w:r>
        <w:rPr>
          <w:sz w:val="22"/>
        </w:rPr>
        <w:t>,</w:t>
      </w:r>
      <w:r w:rsidRPr="00B86018">
        <w:rPr>
          <w:sz w:val="22"/>
        </w:rPr>
        <w:t xml:space="preserve"> lower the regulatory burden, and deliver a digital stakeholder experience.</w:t>
      </w:r>
      <w:r>
        <w:rPr>
          <w:sz w:val="22"/>
        </w:rPr>
        <w:t xml:space="preserve"> The </w:t>
      </w:r>
      <w:r w:rsidRPr="00EE007B">
        <w:rPr>
          <w:sz w:val="22"/>
        </w:rPr>
        <w:t>effective use of data and technology holds the potential for ASIC to efficiently access, digest and analyse vast amounts of data</w:t>
      </w:r>
      <w:r>
        <w:rPr>
          <w:sz w:val="22"/>
        </w:rPr>
        <w:t xml:space="preserve">. This </w:t>
      </w:r>
      <w:r w:rsidRPr="00EE007B">
        <w:rPr>
          <w:sz w:val="22"/>
        </w:rPr>
        <w:t xml:space="preserve">would enable it to better target work, identify and act on misconduct earlier, and to draw better insights. </w:t>
      </w:r>
      <w:r>
        <w:rPr>
          <w:rFonts w:ascii="Calibri" w:hAnsi="Calibri" w:cs="Calibri"/>
          <w:sz w:val="22"/>
        </w:rPr>
        <w:t xml:space="preserve">It could also </w:t>
      </w:r>
      <w:r w:rsidRPr="00EE007B">
        <w:rPr>
          <w:rFonts w:ascii="Calibri" w:hAnsi="Calibri" w:cs="Calibri"/>
          <w:sz w:val="22"/>
        </w:rPr>
        <w:t xml:space="preserve">significantly improve the timeliness of licensing </w:t>
      </w:r>
      <w:r>
        <w:rPr>
          <w:rFonts w:ascii="Calibri" w:hAnsi="Calibri" w:cs="Calibri"/>
          <w:sz w:val="22"/>
        </w:rPr>
        <w:t xml:space="preserve">decisions </w:t>
      </w:r>
      <w:r w:rsidRPr="00EE007B">
        <w:rPr>
          <w:rFonts w:ascii="Calibri" w:hAnsi="Calibri" w:cs="Calibri"/>
          <w:sz w:val="22"/>
        </w:rPr>
        <w:t xml:space="preserve">and the experience of licence applicants. </w:t>
      </w:r>
    </w:p>
    <w:p w14:paraId="66652A34" w14:textId="49EA73B5" w:rsidR="00A16922" w:rsidRDefault="00322780" w:rsidP="00975036">
      <w:pPr>
        <w:pStyle w:val="numberedtext"/>
        <w:numPr>
          <w:ilvl w:val="0"/>
          <w:numId w:val="21"/>
        </w:numPr>
        <w:ind w:left="567" w:hanging="567"/>
      </w:pPr>
      <w:r w:rsidRPr="00BF2FB4">
        <w:t xml:space="preserve">ASIC has historically underinvested in technology (both funding and capability). </w:t>
      </w:r>
      <w:r>
        <w:t xml:space="preserve">ASIC has a comparatively lower annual technology spend than </w:t>
      </w:r>
      <w:r w:rsidRPr="00BD1401">
        <w:t xml:space="preserve">some other domestic public sector agencies and </w:t>
      </w:r>
      <w:r w:rsidR="00AD438E">
        <w:t xml:space="preserve">international </w:t>
      </w:r>
      <w:r w:rsidRPr="00BD1401">
        <w:t>market conduct regulators.</w:t>
      </w:r>
      <w:r w:rsidRPr="00BD1401">
        <w:rPr>
          <w:rStyle w:val="FootnoteReference"/>
          <w:sz w:val="22"/>
        </w:rPr>
        <w:footnoteReference w:id="206"/>
      </w:r>
      <w:r w:rsidRPr="00BD1401" w:rsidDel="0036763B">
        <w:t xml:space="preserve"> </w:t>
      </w:r>
      <w:r w:rsidRPr="00BD1401">
        <w:t xml:space="preserve">The FRAA considers that </w:t>
      </w:r>
      <w:r w:rsidR="00065803" w:rsidRPr="00BD1401">
        <w:t>ASIC</w:t>
      </w:r>
      <w:r w:rsidR="00EF40B0">
        <w:t>’</w:t>
      </w:r>
      <w:r w:rsidR="00065803" w:rsidRPr="00BD1401">
        <w:t xml:space="preserve">s </w:t>
      </w:r>
      <w:r w:rsidR="00065803" w:rsidRPr="00BD1401">
        <w:lastRenderedPageBreak/>
        <w:t>immediate demands may have resulted</w:t>
      </w:r>
      <w:r w:rsidR="00C54328" w:rsidRPr="00BD1401">
        <w:t xml:space="preserve"> </w:t>
      </w:r>
      <w:r w:rsidR="006621F8">
        <w:t xml:space="preserve">in </w:t>
      </w:r>
      <w:r w:rsidR="00C54328" w:rsidRPr="00BD1401">
        <w:t>this underinvestment</w:t>
      </w:r>
      <w:r w:rsidRPr="00BD1401">
        <w:t>. It is also a function of ASIC</w:t>
      </w:r>
      <w:r w:rsidR="00EF40B0">
        <w:t>’</w:t>
      </w:r>
      <w:r w:rsidRPr="00BD1401">
        <w:t>s capital expenditure budget which is set by government, with limited flexibility</w:t>
      </w:r>
      <w:r>
        <w:t xml:space="preserve"> to reallocate its operational expenditure budget to capital expenditure.</w:t>
      </w:r>
      <w:r w:rsidDel="00EC5FE4">
        <w:t xml:space="preserve"> </w:t>
      </w:r>
    </w:p>
    <w:p w14:paraId="4031096B" w14:textId="5BAF7B54" w:rsidR="00C87361" w:rsidRPr="00B66284" w:rsidRDefault="00C87361" w:rsidP="00C87361">
      <w:pPr>
        <w:pStyle w:val="Tabletext"/>
        <w:numPr>
          <w:ilvl w:val="0"/>
          <w:numId w:val="21"/>
        </w:numPr>
        <w:ind w:left="567" w:hanging="567"/>
        <w:rPr>
          <w:sz w:val="22"/>
        </w:rPr>
      </w:pPr>
      <w:r w:rsidRPr="00B66284">
        <w:rPr>
          <w:sz w:val="22"/>
        </w:rPr>
        <w:t>Improved use of data and technology w</w:t>
      </w:r>
      <w:r>
        <w:rPr>
          <w:sz w:val="22"/>
        </w:rPr>
        <w:t>ould</w:t>
      </w:r>
      <w:r w:rsidRPr="00B66284">
        <w:rPr>
          <w:sz w:val="22"/>
        </w:rPr>
        <w:t xml:space="preserve"> enable ASIC to systematically and proactively detect emerging threats, address misconduct and minimise harm. The need for such improvement is most pressing in</w:t>
      </w:r>
      <w:r>
        <w:rPr>
          <w:sz w:val="22"/>
        </w:rPr>
        <w:t xml:space="preserve"> </w:t>
      </w:r>
      <w:r w:rsidRPr="00B66284">
        <w:rPr>
          <w:sz w:val="22"/>
        </w:rPr>
        <w:t>ASIC</w:t>
      </w:r>
      <w:r w:rsidR="00EF40B0">
        <w:rPr>
          <w:sz w:val="22"/>
        </w:rPr>
        <w:t>’</w:t>
      </w:r>
      <w:r w:rsidRPr="00B66284">
        <w:rPr>
          <w:sz w:val="22"/>
        </w:rPr>
        <w:t xml:space="preserve">s Financial Services and Wealth Group, which is comparatively less sophisticated in its data and technology capabilities than </w:t>
      </w:r>
      <w:r w:rsidR="002573AB">
        <w:rPr>
          <w:sz w:val="22"/>
        </w:rPr>
        <w:t>the</w:t>
      </w:r>
      <w:r w:rsidRPr="00B66284">
        <w:rPr>
          <w:sz w:val="22"/>
        </w:rPr>
        <w:t xml:space="preserve"> Markets Group.</w:t>
      </w:r>
      <w:r w:rsidR="008265BD">
        <w:rPr>
          <w:sz w:val="22"/>
        </w:rPr>
        <w:t xml:space="preserve"> It is noted that the Markets Group</w:t>
      </w:r>
      <w:r w:rsidR="00EF40B0">
        <w:rPr>
          <w:sz w:val="22"/>
        </w:rPr>
        <w:t>’</w:t>
      </w:r>
      <w:r w:rsidR="002573AB">
        <w:rPr>
          <w:sz w:val="22"/>
        </w:rPr>
        <w:t>s</w:t>
      </w:r>
      <w:r w:rsidR="008265BD">
        <w:rPr>
          <w:sz w:val="22"/>
        </w:rPr>
        <w:t xml:space="preserve"> capability has been developed in part through access to real</w:t>
      </w:r>
      <w:r w:rsidR="00EF40B0">
        <w:rPr>
          <w:sz w:val="22"/>
        </w:rPr>
        <w:noBreakHyphen/>
      </w:r>
      <w:r w:rsidR="008265BD">
        <w:rPr>
          <w:sz w:val="22"/>
        </w:rPr>
        <w:t xml:space="preserve">time data and 2 rounds of Government funding. </w:t>
      </w:r>
    </w:p>
    <w:p w14:paraId="50F740B0" w14:textId="138A7FFB" w:rsidR="00AE7E8D" w:rsidRPr="0091286A" w:rsidRDefault="00322780" w:rsidP="00AE7E8D">
      <w:pPr>
        <w:pStyle w:val="Tabletext"/>
        <w:numPr>
          <w:ilvl w:val="0"/>
          <w:numId w:val="21"/>
        </w:numPr>
        <w:ind w:left="567" w:hanging="567"/>
        <w:rPr>
          <w:sz w:val="22"/>
        </w:rPr>
      </w:pPr>
      <w:r w:rsidRPr="00AE7E8D">
        <w:rPr>
          <w:sz w:val="22"/>
        </w:rPr>
        <w:t>ASIC has recognised the need to increase its investment in high</w:t>
      </w:r>
      <w:r w:rsidR="00EF40B0">
        <w:rPr>
          <w:sz w:val="22"/>
        </w:rPr>
        <w:noBreakHyphen/>
      </w:r>
      <w:r w:rsidRPr="00AE7E8D">
        <w:rPr>
          <w:sz w:val="22"/>
        </w:rPr>
        <w:t>quality technology, modernised technology platforms, analytical tools, digital capabilities and appropriately trained staff. ASIC has developed digital capability uplift strategies including its Digital Strategy 2030 and Data Strategy and Roadmap 2021</w:t>
      </w:r>
      <w:r w:rsidR="005629CF">
        <w:t>–</w:t>
      </w:r>
      <w:r w:rsidRPr="00AE7E8D">
        <w:rPr>
          <w:sz w:val="22"/>
        </w:rPr>
        <w:t xml:space="preserve">26. These strategies set out the organisational changes, skills development, investments and recurrent data collection powers that ASIC believes are required over the next </w:t>
      </w:r>
      <w:r w:rsidR="000A05B8" w:rsidRPr="00AE7E8D">
        <w:rPr>
          <w:sz w:val="22"/>
        </w:rPr>
        <w:t>5</w:t>
      </w:r>
      <w:r w:rsidRPr="00AE7E8D">
        <w:rPr>
          <w:sz w:val="22"/>
        </w:rPr>
        <w:t xml:space="preserve"> years to realise its ambition to become a </w:t>
      </w:r>
      <w:r w:rsidR="00AE7E8D" w:rsidRPr="0091286A">
        <w:rPr>
          <w:sz w:val="22"/>
        </w:rPr>
        <w:t>digitally</w:t>
      </w:r>
      <w:r w:rsidR="002204E9">
        <w:rPr>
          <w:sz w:val="22"/>
        </w:rPr>
        <w:t xml:space="preserve"> </w:t>
      </w:r>
      <w:r w:rsidR="00AE7E8D" w:rsidRPr="0091286A">
        <w:rPr>
          <w:sz w:val="22"/>
        </w:rPr>
        <w:t xml:space="preserve">enabled </w:t>
      </w:r>
      <w:r w:rsidR="00AE7E8D">
        <w:rPr>
          <w:sz w:val="22"/>
        </w:rPr>
        <w:t>and data</w:t>
      </w:r>
      <w:r w:rsidR="00EF40B0">
        <w:rPr>
          <w:sz w:val="22"/>
        </w:rPr>
        <w:noBreakHyphen/>
      </w:r>
      <w:r w:rsidR="00AE7E8D">
        <w:rPr>
          <w:sz w:val="22"/>
        </w:rPr>
        <w:t xml:space="preserve">informed </w:t>
      </w:r>
      <w:r w:rsidR="00AE7E8D" w:rsidRPr="0091286A">
        <w:rPr>
          <w:sz w:val="22"/>
        </w:rPr>
        <w:t xml:space="preserve">regulator. </w:t>
      </w:r>
    </w:p>
    <w:p w14:paraId="70224691" w14:textId="06B32D4D" w:rsidR="00322780" w:rsidRPr="00264B2F" w:rsidRDefault="00322780" w:rsidP="00975036">
      <w:pPr>
        <w:pStyle w:val="numberedtext"/>
        <w:numPr>
          <w:ilvl w:val="0"/>
          <w:numId w:val="21"/>
        </w:numPr>
        <w:ind w:left="567" w:hanging="567"/>
      </w:pPr>
      <w:r w:rsidRPr="00264B2F">
        <w:t xml:space="preserve">ASIC intends to work with </w:t>
      </w:r>
      <w:r w:rsidR="002573AB">
        <w:t>G</w:t>
      </w:r>
      <w:r w:rsidRPr="00264B2F">
        <w:t xml:space="preserve">overnment to obtain the necessary funding and data collection powers to deliver on these strategies. </w:t>
      </w:r>
    </w:p>
    <w:p w14:paraId="6DFA0A74" w14:textId="0B3264DA" w:rsidR="00322780" w:rsidRPr="00057FF9" w:rsidRDefault="00322780" w:rsidP="00975036">
      <w:pPr>
        <w:pStyle w:val="numberedtext"/>
        <w:numPr>
          <w:ilvl w:val="0"/>
          <w:numId w:val="21"/>
        </w:numPr>
        <w:ind w:left="567" w:hanging="567"/>
      </w:pPr>
      <w:r>
        <w:t>The FRAA supports ASIC</w:t>
      </w:r>
      <w:r w:rsidR="00EF40B0">
        <w:t>’</w:t>
      </w:r>
      <w:r>
        <w:t>s ambition to become a digitally</w:t>
      </w:r>
      <w:r w:rsidR="002573AB">
        <w:t xml:space="preserve"> </w:t>
      </w:r>
      <w:r>
        <w:t>enabled and data</w:t>
      </w:r>
      <w:r w:rsidR="00EF40B0">
        <w:noBreakHyphen/>
      </w:r>
      <w:r w:rsidR="005C70DD">
        <w:t>informed</w:t>
      </w:r>
      <w:r>
        <w:t xml:space="preserve"> regulator and is supportive of ASIC prioritising this in its allocation of internal resources. The FRAA recognises that additional funding and government support will be necessary if ASIC is to achieve its ambition</w:t>
      </w:r>
      <w:r w:rsidRPr="00057FF9">
        <w:t xml:space="preserve"> given the historic underinvestment in technology and the resulting technology debt. </w:t>
      </w:r>
    </w:p>
    <w:p w14:paraId="2C7005FE" w14:textId="60AFB68C" w:rsidR="00322780" w:rsidRDefault="00322780" w:rsidP="00975036">
      <w:pPr>
        <w:pStyle w:val="numberedtext"/>
        <w:numPr>
          <w:ilvl w:val="0"/>
          <w:numId w:val="21"/>
        </w:numPr>
        <w:ind w:left="567" w:hanging="567"/>
      </w:pPr>
      <w:r w:rsidRPr="00867532">
        <w:t>It is the FRAA</w:t>
      </w:r>
      <w:r w:rsidR="00EF40B0">
        <w:t>’</w:t>
      </w:r>
      <w:r w:rsidRPr="00867532">
        <w:t xml:space="preserve">s view that </w:t>
      </w:r>
      <w:r>
        <w:t xml:space="preserve">any data and technology investments will need to be accompanied by </w:t>
      </w:r>
      <w:r w:rsidRPr="00867532">
        <w:t>material cultural change to realise the benefit from th</w:t>
      </w:r>
      <w:r>
        <w:t>ose</w:t>
      </w:r>
      <w:r w:rsidRPr="00867532">
        <w:t xml:space="preserve"> investment</w:t>
      </w:r>
      <w:r>
        <w:t>s</w:t>
      </w:r>
      <w:r w:rsidRPr="00867532">
        <w:t>.</w:t>
      </w:r>
      <w:r w:rsidRPr="00A92809">
        <w:t xml:space="preserve"> </w:t>
      </w:r>
      <w:r>
        <w:t>T</w:t>
      </w:r>
      <w:r w:rsidRPr="00057FF9">
        <w:t xml:space="preserve">he poor experience of the development and deployment of the new CRM </w:t>
      </w:r>
      <w:r w:rsidR="0079000D">
        <w:t>system</w:t>
      </w:r>
      <w:r w:rsidRPr="00057FF9">
        <w:t xml:space="preserve"> (refer </w:t>
      </w:r>
      <w:r w:rsidR="00917734">
        <w:t xml:space="preserve">paragraph </w:t>
      </w:r>
      <w:r w:rsidR="00A6032A">
        <w:t>4.63</w:t>
      </w:r>
      <w:r w:rsidRPr="00057FF9">
        <w:t xml:space="preserve">) </w:t>
      </w:r>
      <w:r>
        <w:t>illustrates that investment in technology without the necessary cultural engagement will not succeed</w:t>
      </w:r>
      <w:r w:rsidR="001A1CBE">
        <w:t xml:space="preserve">. </w:t>
      </w:r>
    </w:p>
    <w:p w14:paraId="60A2B2DE" w14:textId="784773A4" w:rsidR="00322780" w:rsidRPr="00BF2FB4" w:rsidRDefault="00322780" w:rsidP="00975036">
      <w:pPr>
        <w:pStyle w:val="numberedtext"/>
        <w:numPr>
          <w:ilvl w:val="0"/>
          <w:numId w:val="21"/>
        </w:numPr>
        <w:ind w:left="567" w:hanging="567"/>
      </w:pPr>
      <w:r w:rsidRPr="00BF2FB4">
        <w:t>The FRAA considers that to successfully execute ASIC</w:t>
      </w:r>
      <w:r w:rsidR="00EF40B0">
        <w:t>’</w:t>
      </w:r>
      <w:r w:rsidRPr="00BF2FB4">
        <w:t xml:space="preserve">s digital </w:t>
      </w:r>
      <w:r>
        <w:t xml:space="preserve">and data </w:t>
      </w:r>
      <w:r w:rsidRPr="00BF2FB4">
        <w:t>strateg</w:t>
      </w:r>
      <w:r>
        <w:t>ies</w:t>
      </w:r>
      <w:r w:rsidRPr="00BF2FB4">
        <w:t>, ASIC</w:t>
      </w:r>
      <w:r w:rsidR="00EF40B0">
        <w:t>’</w:t>
      </w:r>
      <w:r w:rsidRPr="00BF2FB4">
        <w:t xml:space="preserve">s Chair, Commission and </w:t>
      </w:r>
      <w:r>
        <w:t>e</w:t>
      </w:r>
      <w:r w:rsidRPr="00BF2FB4">
        <w:t xml:space="preserve">xecutive </w:t>
      </w:r>
      <w:r>
        <w:t>d</w:t>
      </w:r>
      <w:r w:rsidRPr="00BF2FB4">
        <w:t xml:space="preserve">irectors need to </w:t>
      </w:r>
      <w:r>
        <w:t xml:space="preserve">ensure ASIC staff </w:t>
      </w:r>
      <w:r w:rsidR="002204E9">
        <w:t xml:space="preserve">members </w:t>
      </w:r>
      <w:r>
        <w:t xml:space="preserve">are fully supported in the </w:t>
      </w:r>
      <w:r w:rsidRPr="00BF2FB4">
        <w:t xml:space="preserve">cultural </w:t>
      </w:r>
      <w:r>
        <w:t>and mindset change that will be required to execute these strategies.</w:t>
      </w:r>
      <w:r w:rsidRPr="00BF2FB4">
        <w:t xml:space="preserve"> </w:t>
      </w:r>
    </w:p>
    <w:tbl>
      <w:tblPr>
        <w:tblStyle w:val="TableGrid"/>
        <w:tblW w:w="0" w:type="auto"/>
        <w:tblInd w:w="567" w:type="dxa"/>
        <w:shd w:val="clear" w:color="auto" w:fill="D5E1F1" w:themeFill="accent2" w:themeFillTint="33"/>
        <w:tblCellMar>
          <w:top w:w="170" w:type="dxa"/>
          <w:left w:w="170" w:type="dxa"/>
          <w:bottom w:w="170" w:type="dxa"/>
          <w:right w:w="170" w:type="dxa"/>
        </w:tblCellMar>
        <w:tblLook w:val="04A0" w:firstRow="1" w:lastRow="0" w:firstColumn="1" w:lastColumn="0" w:noHBand="0" w:noVBand="1"/>
      </w:tblPr>
      <w:tblGrid>
        <w:gridCol w:w="8459"/>
      </w:tblGrid>
      <w:tr w:rsidR="00322780" w:rsidRPr="004A5C69" w14:paraId="05A614DE" w14:textId="77777777" w:rsidTr="00217CAF">
        <w:tc>
          <w:tcPr>
            <w:tcW w:w="8459" w:type="dxa"/>
            <w:shd w:val="clear" w:color="auto" w:fill="D5E1F1" w:themeFill="accent2" w:themeFillTint="33"/>
          </w:tcPr>
          <w:p w14:paraId="5CB4E76E" w14:textId="77777777" w:rsidR="00322780" w:rsidRPr="004A5C69" w:rsidRDefault="00322780" w:rsidP="00217CAF">
            <w:pPr>
              <w:pStyle w:val="BoxHeading"/>
            </w:pPr>
            <w:r w:rsidRPr="004A5C69">
              <w:t xml:space="preserve">Recommendation </w:t>
            </w:r>
          </w:p>
          <w:p w14:paraId="231F5FAC" w14:textId="4763AE96" w:rsidR="00322780" w:rsidRPr="004A5C69" w:rsidRDefault="0031119A" w:rsidP="00217CAF">
            <w:pPr>
              <w:pStyle w:val="BoxText"/>
            </w:pPr>
            <w:r w:rsidRPr="0031119A">
              <w:t>ASIC requires a substantial uplift in its data and technology capability which will involve cultural</w:t>
            </w:r>
            <w:r w:rsidR="00A16922">
              <w:t> </w:t>
            </w:r>
            <w:r w:rsidRPr="0031119A">
              <w:t>change</w:t>
            </w:r>
            <w:r w:rsidR="00C606AD">
              <w:t xml:space="preserve">. </w:t>
            </w:r>
          </w:p>
        </w:tc>
      </w:tr>
    </w:tbl>
    <w:p w14:paraId="4F7B31C9" w14:textId="77777777" w:rsidR="00322780" w:rsidRPr="00F02A15" w:rsidRDefault="00322780" w:rsidP="00F02A15">
      <w:pPr>
        <w:pStyle w:val="Heading2"/>
        <w:rPr>
          <w:rFonts w:eastAsiaTheme="minorHAnsi"/>
        </w:rPr>
      </w:pPr>
      <w:bookmarkStart w:id="146" w:name="_Toc110241841"/>
      <w:r w:rsidRPr="00F02A15">
        <w:rPr>
          <w:rFonts w:eastAsiaTheme="minorEastAsia"/>
        </w:rPr>
        <w:t>Quality of engagement</w:t>
      </w:r>
      <w:r w:rsidRPr="00F02A15">
        <w:rPr>
          <w:rFonts w:eastAsiaTheme="minorHAnsi"/>
        </w:rPr>
        <w:t xml:space="preserve"> with stakeholders</w:t>
      </w:r>
      <w:bookmarkEnd w:id="146"/>
    </w:p>
    <w:p w14:paraId="4431BB25" w14:textId="077E4999" w:rsidR="00322780" w:rsidRPr="001334A6" w:rsidRDefault="00322780" w:rsidP="00975036">
      <w:pPr>
        <w:pStyle w:val="numberedtext"/>
        <w:numPr>
          <w:ilvl w:val="0"/>
          <w:numId w:val="21"/>
        </w:numPr>
        <w:ind w:left="567" w:hanging="567"/>
      </w:pPr>
      <w:r w:rsidRPr="001334A6">
        <w:t>ASIC</w:t>
      </w:r>
      <w:r w:rsidR="00EF40B0">
        <w:t>’</w:t>
      </w:r>
      <w:r>
        <w:t>s</w:t>
      </w:r>
      <w:r w:rsidRPr="001334A6">
        <w:t xml:space="preserve"> regulated population</w:t>
      </w:r>
      <w:r>
        <w:t>, consumer advocacy bodies</w:t>
      </w:r>
      <w:r w:rsidRPr="001334A6">
        <w:t xml:space="preserve"> and broader stakeholders have a strong shared interest in identifying and preventing misconduct and breaches of the law</w:t>
      </w:r>
      <w:r w:rsidR="001A1CBE">
        <w:t xml:space="preserve">. </w:t>
      </w:r>
      <w:r w:rsidRPr="001334A6">
        <w:t>However, while there may be an alignment of objectives at large, for the benefits of such objectives to be realised there is a requirement that ASIC has a strong, trusted and where appropriate</w:t>
      </w:r>
      <w:r>
        <w:t>,</w:t>
      </w:r>
      <w:r w:rsidRPr="001334A6">
        <w:t xml:space="preserve"> open and collaborative relationship with its stakeholders</w:t>
      </w:r>
      <w:r w:rsidR="001A1CBE">
        <w:t xml:space="preserve">. </w:t>
      </w:r>
    </w:p>
    <w:p w14:paraId="5973C370" w14:textId="0FFD66A1" w:rsidR="001D27E4" w:rsidRDefault="00D3308D" w:rsidP="00975036">
      <w:pPr>
        <w:pStyle w:val="numberedtext"/>
        <w:numPr>
          <w:ilvl w:val="0"/>
          <w:numId w:val="21"/>
        </w:numPr>
        <w:ind w:left="567" w:hanging="567"/>
      </w:pPr>
      <w:r w:rsidRPr="006D52DC">
        <w:t xml:space="preserve">Improving stakeholder engagement </w:t>
      </w:r>
      <w:r>
        <w:t xml:space="preserve">in a thoughtful and considered way need </w:t>
      </w:r>
      <w:r w:rsidRPr="006D52DC">
        <w:t xml:space="preserve">not compromise </w:t>
      </w:r>
      <w:r>
        <w:t xml:space="preserve">the </w:t>
      </w:r>
      <w:r w:rsidRPr="006D52DC">
        <w:t>imperative</w:t>
      </w:r>
      <w:r>
        <w:t xml:space="preserve"> that </w:t>
      </w:r>
      <w:r w:rsidRPr="006D52DC">
        <w:t>ASIC maintain</w:t>
      </w:r>
      <w:r>
        <w:t>s</w:t>
      </w:r>
      <w:r w:rsidRPr="006D52DC">
        <w:t xml:space="preserve"> clear independence from the community it regulates and resist</w:t>
      </w:r>
      <w:r>
        <w:t>s</w:t>
      </w:r>
      <w:r w:rsidRPr="006D52DC">
        <w:t xml:space="preserve"> regulatory capture</w:t>
      </w:r>
      <w:r>
        <w:t xml:space="preserve">. </w:t>
      </w:r>
      <w:r w:rsidR="00771954">
        <w:t xml:space="preserve">It is vital that ASIC </w:t>
      </w:r>
      <w:r w:rsidR="00882277">
        <w:t>resists regulatory</w:t>
      </w:r>
      <w:r w:rsidR="00771954">
        <w:t xml:space="preserve"> </w:t>
      </w:r>
      <w:r w:rsidR="001D27E4">
        <w:t>capture</w:t>
      </w:r>
      <w:r w:rsidR="00F064D3">
        <w:t xml:space="preserve"> and has the freedom </w:t>
      </w:r>
      <w:r w:rsidR="00C7657F">
        <w:t xml:space="preserve">to </w:t>
      </w:r>
      <w:r w:rsidR="005F3E6D">
        <w:t xml:space="preserve">use its </w:t>
      </w:r>
      <w:r w:rsidR="00AB6A71">
        <w:t>regulatory tools</w:t>
      </w:r>
      <w:r w:rsidR="00A453F5">
        <w:t xml:space="preserve"> in</w:t>
      </w:r>
      <w:r w:rsidR="00AB6A71">
        <w:t xml:space="preserve"> </w:t>
      </w:r>
      <w:r w:rsidR="003874AF">
        <w:t>the</w:t>
      </w:r>
      <w:r w:rsidR="008923BB">
        <w:t xml:space="preserve"> </w:t>
      </w:r>
      <w:r w:rsidR="00113912">
        <w:t>national interest</w:t>
      </w:r>
      <w:r w:rsidR="00771954" w:rsidRPr="006D52DC">
        <w:t xml:space="preserve">. </w:t>
      </w:r>
    </w:p>
    <w:p w14:paraId="42E54D16" w14:textId="3E0556FF" w:rsidR="00322780" w:rsidRPr="001334A6" w:rsidRDefault="00322780" w:rsidP="00975036">
      <w:pPr>
        <w:pStyle w:val="numberedtext"/>
        <w:numPr>
          <w:ilvl w:val="0"/>
          <w:numId w:val="21"/>
        </w:numPr>
        <w:ind w:left="567" w:hanging="567"/>
      </w:pPr>
      <w:r w:rsidRPr="001334A6">
        <w:lastRenderedPageBreak/>
        <w:t xml:space="preserve">ASIC has a range of stakeholders including regulated entities, investors, consumers, industry and consumer advocacy bodies, other regulators and government. ASIC </w:t>
      </w:r>
      <w:r>
        <w:t xml:space="preserve">uses different </w:t>
      </w:r>
      <w:r w:rsidRPr="001334A6">
        <w:t>channels to engage with its stakeholders including corporate communications (</w:t>
      </w:r>
      <w:r>
        <w:t xml:space="preserve">for example, the annual report, </w:t>
      </w:r>
      <w:r w:rsidRPr="001334A6">
        <w:t xml:space="preserve">corporate plan, media releases, </w:t>
      </w:r>
      <w:r>
        <w:t>articles and podcasts</w:t>
      </w:r>
      <w:r w:rsidRPr="001334A6">
        <w:t xml:space="preserve">), </w:t>
      </w:r>
      <w:r>
        <w:t xml:space="preserve">commissioner </w:t>
      </w:r>
      <w:r w:rsidRPr="001334A6">
        <w:t>speeches</w:t>
      </w:r>
      <w:r>
        <w:t xml:space="preserve">, external advisory panel meetings and other stakeholder </w:t>
      </w:r>
      <w:r w:rsidRPr="001334A6">
        <w:t>meetings</w:t>
      </w:r>
      <w:r w:rsidR="00EF40B0">
        <w:t xml:space="preserve">. </w:t>
      </w:r>
    </w:p>
    <w:p w14:paraId="71CB2C3E" w14:textId="41559399" w:rsidR="00A16922" w:rsidRDefault="00322780" w:rsidP="00975036">
      <w:pPr>
        <w:pStyle w:val="numberedtext"/>
        <w:numPr>
          <w:ilvl w:val="0"/>
          <w:numId w:val="21"/>
        </w:numPr>
        <w:ind w:left="567" w:hanging="567"/>
      </w:pPr>
      <w:r w:rsidRPr="001334A6">
        <w:t xml:space="preserve">Overall, </w:t>
      </w:r>
      <w:r>
        <w:t xml:space="preserve">the feedback as described in </w:t>
      </w:r>
      <w:r w:rsidRPr="001334A6">
        <w:t xml:space="preserve">the previous </w:t>
      </w:r>
      <w:r>
        <w:t>3</w:t>
      </w:r>
      <w:r w:rsidRPr="001334A6">
        <w:t xml:space="preserve"> chapters </w:t>
      </w:r>
      <w:r>
        <w:t xml:space="preserve">suggest that ASIC could improve the </w:t>
      </w:r>
      <w:r w:rsidRPr="001334A6">
        <w:t xml:space="preserve">quality and consistency of </w:t>
      </w:r>
      <w:r>
        <w:t>its</w:t>
      </w:r>
      <w:r w:rsidRPr="001334A6">
        <w:t xml:space="preserve"> engagement and relationships </w:t>
      </w:r>
      <w:r>
        <w:t xml:space="preserve">and that doing so would </w:t>
      </w:r>
      <w:r w:rsidRPr="001334A6">
        <w:t xml:space="preserve">support ASIC to better achieve its objectives. </w:t>
      </w:r>
    </w:p>
    <w:p w14:paraId="1A6D2BE7" w14:textId="56ADB6B7" w:rsidR="00322780" w:rsidRPr="00D7122D" w:rsidRDefault="00322780" w:rsidP="00975036">
      <w:pPr>
        <w:pStyle w:val="numberedtext"/>
        <w:numPr>
          <w:ilvl w:val="0"/>
          <w:numId w:val="21"/>
        </w:numPr>
        <w:ind w:left="567" w:hanging="567"/>
      </w:pPr>
      <w:r w:rsidRPr="00D7122D">
        <w:t xml:space="preserve">The FRAA considers that quality engagement goes beyond the number of meetings that </w:t>
      </w:r>
      <w:r>
        <w:t>c</w:t>
      </w:r>
      <w:r w:rsidRPr="00D7122D">
        <w:t xml:space="preserve">ommissioners and ASIC senior leaders have with stakeholders. </w:t>
      </w:r>
      <w:r>
        <w:t xml:space="preserve">Quality </w:t>
      </w:r>
      <w:r w:rsidRPr="00D7122D">
        <w:t>stakeholder</w:t>
      </w:r>
      <w:r>
        <w:t xml:space="preserve"> engagement</w:t>
      </w:r>
      <w:r w:rsidRPr="00D7122D">
        <w:t xml:space="preserve"> </w:t>
      </w:r>
      <w:r>
        <w:t xml:space="preserve">requires </w:t>
      </w:r>
      <w:r w:rsidRPr="00D7122D">
        <w:t>open and transparent communication</w:t>
      </w:r>
      <w:r>
        <w:t>s to listen to and understand stakeholders</w:t>
      </w:r>
      <w:r w:rsidR="00EF40B0">
        <w:t>’</w:t>
      </w:r>
      <w:r>
        <w:t xml:space="preserve"> issues and perspectives</w:t>
      </w:r>
      <w:r w:rsidRPr="00D7122D">
        <w:t>.</w:t>
      </w:r>
      <w:r>
        <w:rPr>
          <w:rStyle w:val="FootnoteReference"/>
          <w:sz w:val="22"/>
        </w:rPr>
        <w:footnoteReference w:id="207"/>
      </w:r>
      <w:r w:rsidRPr="00D7122D">
        <w:t xml:space="preserve"> Developing quality engagement and relationships with stakeholders should occur </w:t>
      </w:r>
      <w:r>
        <w:t xml:space="preserve">right </w:t>
      </w:r>
      <w:r w:rsidRPr="00D7122D">
        <w:t xml:space="preserve">across the organisation. </w:t>
      </w:r>
      <w:r>
        <w:t>Quality engagement should be supported by corporate communications that are clear and consistent.</w:t>
      </w:r>
      <w:r>
        <w:rPr>
          <w:rStyle w:val="FootnoteReference"/>
          <w:sz w:val="22"/>
        </w:rPr>
        <w:footnoteReference w:id="208"/>
      </w:r>
      <w:r w:rsidRPr="00D7122D">
        <w:t xml:space="preserve"> </w:t>
      </w:r>
    </w:p>
    <w:p w14:paraId="32A4F506" w14:textId="5D68A53C" w:rsidR="00CB4344" w:rsidRPr="00F27A65" w:rsidRDefault="00CB4344" w:rsidP="00CB4344">
      <w:pPr>
        <w:pStyle w:val="Tabletext"/>
        <w:numPr>
          <w:ilvl w:val="0"/>
          <w:numId w:val="21"/>
        </w:numPr>
        <w:ind w:left="567" w:hanging="567"/>
        <w:rPr>
          <w:sz w:val="22"/>
        </w:rPr>
      </w:pPr>
      <w:r w:rsidRPr="001334A6">
        <w:rPr>
          <w:sz w:val="22"/>
        </w:rPr>
        <w:t>Strong relationships with stakeholders improve transparency and builds the trust and confidence of stakeholders</w:t>
      </w:r>
      <w:r>
        <w:rPr>
          <w:sz w:val="22"/>
        </w:rPr>
        <w:t>, thereby</w:t>
      </w:r>
      <w:r w:rsidRPr="001334A6">
        <w:rPr>
          <w:sz w:val="22"/>
        </w:rPr>
        <w:t xml:space="preserve"> enhanc</w:t>
      </w:r>
      <w:r>
        <w:rPr>
          <w:sz w:val="22"/>
        </w:rPr>
        <w:t>ing</w:t>
      </w:r>
      <w:r w:rsidRPr="001334A6">
        <w:rPr>
          <w:sz w:val="22"/>
        </w:rPr>
        <w:t xml:space="preserve"> ASIC</w:t>
      </w:r>
      <w:r w:rsidR="00EF40B0">
        <w:rPr>
          <w:sz w:val="22"/>
        </w:rPr>
        <w:t>’</w:t>
      </w:r>
      <w:r w:rsidRPr="001334A6">
        <w:rPr>
          <w:sz w:val="22"/>
        </w:rPr>
        <w:t xml:space="preserve">s effectiveness and capability. For example, it would enable ASIC to draw on a broader set of information and </w:t>
      </w:r>
      <w:r>
        <w:rPr>
          <w:sz w:val="22"/>
        </w:rPr>
        <w:t>access intelligence that would enable it to act earlier to minimise harm</w:t>
      </w:r>
      <w:r w:rsidRPr="001334A6">
        <w:rPr>
          <w:sz w:val="22"/>
        </w:rPr>
        <w:t xml:space="preserve">. </w:t>
      </w:r>
      <w:r>
        <w:rPr>
          <w:sz w:val="22"/>
        </w:rPr>
        <w:t>B</w:t>
      </w:r>
      <w:r w:rsidRPr="001334A6">
        <w:rPr>
          <w:sz w:val="22"/>
        </w:rPr>
        <w:t xml:space="preserve">etter engagement in the establishment of surveillance projects can enable ASIC to tailor </w:t>
      </w:r>
      <w:r>
        <w:rPr>
          <w:sz w:val="22"/>
        </w:rPr>
        <w:t>its</w:t>
      </w:r>
      <w:r w:rsidRPr="001334A6">
        <w:rPr>
          <w:sz w:val="22"/>
        </w:rPr>
        <w:t xml:space="preserve"> activities to meet its objectives more efficient</w:t>
      </w:r>
      <w:r>
        <w:rPr>
          <w:sz w:val="22"/>
        </w:rPr>
        <w:t>ly</w:t>
      </w:r>
      <w:r w:rsidRPr="001334A6">
        <w:rPr>
          <w:sz w:val="22"/>
        </w:rPr>
        <w:t xml:space="preserve">. </w:t>
      </w:r>
      <w:r>
        <w:rPr>
          <w:sz w:val="22"/>
        </w:rPr>
        <w:t xml:space="preserve">In licensing, better engagement with applicants can improve the applicant experience and lead to more </w:t>
      </w:r>
      <w:r w:rsidRPr="001334A6">
        <w:rPr>
          <w:sz w:val="22"/>
        </w:rPr>
        <w:t xml:space="preserve">timely licensing decisions. </w:t>
      </w:r>
    </w:p>
    <w:p w14:paraId="732931EC" w14:textId="55CD4A97" w:rsidR="00322780" w:rsidRDefault="00322780" w:rsidP="00975036">
      <w:pPr>
        <w:pStyle w:val="numberedtext"/>
        <w:numPr>
          <w:ilvl w:val="0"/>
          <w:numId w:val="21"/>
        </w:numPr>
        <w:ind w:left="567" w:hanging="567"/>
      </w:pPr>
      <w:r w:rsidRPr="001334A6">
        <w:t xml:space="preserve">ASIC has recognised the need to improve its communications of priorities and surveillance outcomes. ASIC is </w:t>
      </w:r>
      <w:r>
        <w:t xml:space="preserve">seeking </w:t>
      </w:r>
      <w:r w:rsidRPr="001334A6">
        <w:t xml:space="preserve">to communicate its priorities in speeches and publications by </w:t>
      </w:r>
      <w:r>
        <w:t>c</w:t>
      </w:r>
      <w:r w:rsidRPr="001334A6">
        <w:t>ommissioners</w:t>
      </w:r>
      <w:r>
        <w:t xml:space="preserve"> and r</w:t>
      </w:r>
      <w:r w:rsidRPr="001334A6">
        <w:t>ecently used innovative communication channels, via social media, to address and communicate emerging harms in the markets space.</w:t>
      </w:r>
      <w:r>
        <w:t xml:space="preserve"> </w:t>
      </w:r>
      <w:r w:rsidRPr="001334A6">
        <w:t>ASIC</w:t>
      </w:r>
      <w:r w:rsidR="00EF40B0">
        <w:t>’</w:t>
      </w:r>
      <w:r w:rsidRPr="001334A6">
        <w:t>s newly established Regulatory Efficiency Unit has identified initiatives to improve the efficiency of its engagement with its regulated population</w:t>
      </w:r>
      <w:r>
        <w:t xml:space="preserve"> (refer </w:t>
      </w:r>
      <w:r w:rsidR="0020661E">
        <w:t xml:space="preserve">paragraph </w:t>
      </w:r>
      <w:r w:rsidR="00A6032A">
        <w:t>3.56</w:t>
      </w:r>
      <w:r>
        <w:t>)</w:t>
      </w:r>
      <w:r w:rsidRPr="001334A6">
        <w:t>.</w:t>
      </w:r>
    </w:p>
    <w:p w14:paraId="0E6D2E89" w14:textId="350ED5A4" w:rsidR="00322780" w:rsidRPr="004951FB" w:rsidRDefault="00322780" w:rsidP="00975036">
      <w:pPr>
        <w:pStyle w:val="numberedtext"/>
        <w:numPr>
          <w:ilvl w:val="0"/>
          <w:numId w:val="21"/>
        </w:numPr>
        <w:ind w:left="567" w:hanging="567"/>
      </w:pPr>
      <w:r w:rsidRPr="001334A6">
        <w:t xml:space="preserve">The </w:t>
      </w:r>
      <w:r w:rsidRPr="00B86018">
        <w:t>FRAA is supportive of ASIC</w:t>
      </w:r>
      <w:r w:rsidR="00EF40B0">
        <w:t>’</w:t>
      </w:r>
      <w:r w:rsidRPr="00B86018">
        <w:t xml:space="preserve">s initiatives to improve its engagement with stakeholders and considers these initiatives are a good starting point to improve the quality and consistency of </w:t>
      </w:r>
      <w:r>
        <w:t>this engagement</w:t>
      </w:r>
      <w:r w:rsidRPr="00B86018">
        <w:t xml:space="preserve">. </w:t>
      </w:r>
    </w:p>
    <w:p w14:paraId="1C513709" w14:textId="4C246624" w:rsidR="00731BD6" w:rsidRDefault="00731BD6" w:rsidP="00731BD6">
      <w:pPr>
        <w:pStyle w:val="Tabletext"/>
        <w:numPr>
          <w:ilvl w:val="0"/>
          <w:numId w:val="21"/>
        </w:numPr>
        <w:ind w:left="567" w:hanging="567"/>
        <w:rPr>
          <w:sz w:val="22"/>
        </w:rPr>
      </w:pPr>
      <w:r w:rsidRPr="00B23498">
        <w:rPr>
          <w:sz w:val="22"/>
        </w:rPr>
        <w:t xml:space="preserve">The FRAA considers that to </w:t>
      </w:r>
      <w:r w:rsidRPr="16C4B7A3">
        <w:rPr>
          <w:sz w:val="22"/>
        </w:rPr>
        <w:t xml:space="preserve">meaningfully </w:t>
      </w:r>
      <w:r w:rsidRPr="00B23498">
        <w:rPr>
          <w:sz w:val="22"/>
        </w:rPr>
        <w:t xml:space="preserve">enhance its stakeholder relationships ASIC will need a cultural shift </w:t>
      </w:r>
      <w:r w:rsidRPr="16C4B7A3">
        <w:rPr>
          <w:sz w:val="22"/>
        </w:rPr>
        <w:t xml:space="preserve">with </w:t>
      </w:r>
      <w:r w:rsidRPr="00B23498">
        <w:rPr>
          <w:sz w:val="22"/>
        </w:rPr>
        <w:t>a deep focus on its stakeholders and their experience in interacting with ASIC.</w:t>
      </w:r>
      <w:r w:rsidRPr="00B86018">
        <w:rPr>
          <w:sz w:val="22"/>
        </w:rPr>
        <w:t xml:space="preserve"> </w:t>
      </w:r>
      <w:r>
        <w:rPr>
          <w:sz w:val="22"/>
        </w:rPr>
        <w:t xml:space="preserve">Staff </w:t>
      </w:r>
      <w:r w:rsidR="008E386F">
        <w:rPr>
          <w:sz w:val="22"/>
        </w:rPr>
        <w:t>members</w:t>
      </w:r>
      <w:r>
        <w:rPr>
          <w:sz w:val="22"/>
        </w:rPr>
        <w:t xml:space="preserve"> should be </w:t>
      </w:r>
      <w:r w:rsidRPr="00B86018">
        <w:rPr>
          <w:sz w:val="22"/>
        </w:rPr>
        <w:t>empower</w:t>
      </w:r>
      <w:r>
        <w:rPr>
          <w:sz w:val="22"/>
        </w:rPr>
        <w:t>ed</w:t>
      </w:r>
      <w:r w:rsidRPr="00B86018">
        <w:rPr>
          <w:sz w:val="22"/>
        </w:rPr>
        <w:t xml:space="preserve"> to </w:t>
      </w:r>
      <w:r>
        <w:rPr>
          <w:sz w:val="22"/>
        </w:rPr>
        <w:t xml:space="preserve">develop quality engagements with </w:t>
      </w:r>
      <w:r w:rsidRPr="00B86018">
        <w:rPr>
          <w:sz w:val="22"/>
        </w:rPr>
        <w:t>stakeholder</w:t>
      </w:r>
      <w:r>
        <w:rPr>
          <w:sz w:val="22"/>
        </w:rPr>
        <w:t>s and</w:t>
      </w:r>
      <w:r w:rsidRPr="00B86018">
        <w:rPr>
          <w:sz w:val="22"/>
        </w:rPr>
        <w:t xml:space="preserve"> drive a more confident organisation. It will also require greater collaboration and information sharing across ASIC teams so issues raised by stakeholders can be passed to the teams that can best action them. </w:t>
      </w:r>
      <w:r>
        <w:rPr>
          <w:sz w:val="22"/>
        </w:rPr>
        <w:t>The FRAA notes that, as a regulator, ASIC necessarily needs to remain independent and avoid regulatory capture. ASIC</w:t>
      </w:r>
      <w:r w:rsidR="00EF40B0">
        <w:rPr>
          <w:sz w:val="22"/>
        </w:rPr>
        <w:t>’</w:t>
      </w:r>
      <w:r>
        <w:rPr>
          <w:sz w:val="22"/>
        </w:rPr>
        <w:t xml:space="preserve">s ability to be an independent, strong and confident regulator should not conflict with </w:t>
      </w:r>
      <w:r w:rsidR="00A8747B">
        <w:rPr>
          <w:sz w:val="22"/>
        </w:rPr>
        <w:t>i</w:t>
      </w:r>
      <w:r w:rsidR="00A8747B" w:rsidRPr="006D52DC">
        <w:rPr>
          <w:sz w:val="22"/>
        </w:rPr>
        <w:t xml:space="preserve">mproving </w:t>
      </w:r>
      <w:r w:rsidR="00A8747B">
        <w:rPr>
          <w:sz w:val="22"/>
        </w:rPr>
        <w:t xml:space="preserve">its </w:t>
      </w:r>
      <w:r w:rsidR="00A8747B" w:rsidRPr="006D52DC">
        <w:rPr>
          <w:sz w:val="22"/>
        </w:rPr>
        <w:t xml:space="preserve">stakeholder engagement </w:t>
      </w:r>
      <w:r w:rsidR="00A8747B">
        <w:rPr>
          <w:sz w:val="22"/>
        </w:rPr>
        <w:t>in a thoughtful and considered way. This should</w:t>
      </w:r>
      <w:r>
        <w:rPr>
          <w:sz w:val="22"/>
        </w:rPr>
        <w:t xml:space="preserve"> support </w:t>
      </w:r>
      <w:r w:rsidR="00C32167">
        <w:rPr>
          <w:sz w:val="22"/>
        </w:rPr>
        <w:t>ASIC</w:t>
      </w:r>
      <w:r w:rsidR="00EF40B0">
        <w:rPr>
          <w:sz w:val="22"/>
        </w:rPr>
        <w:t>’</w:t>
      </w:r>
      <w:r w:rsidR="00C32167">
        <w:rPr>
          <w:sz w:val="22"/>
        </w:rPr>
        <w:t xml:space="preserve">s </w:t>
      </w:r>
      <w:r>
        <w:rPr>
          <w:sz w:val="22"/>
        </w:rPr>
        <w:t xml:space="preserve">effectiveness </w:t>
      </w:r>
      <w:r w:rsidR="009E7692">
        <w:rPr>
          <w:sz w:val="22"/>
        </w:rPr>
        <w:t>by</w:t>
      </w:r>
      <w:r>
        <w:rPr>
          <w:sz w:val="22"/>
        </w:rPr>
        <w:t xml:space="preserve"> provid</w:t>
      </w:r>
      <w:r w:rsidR="009E7692">
        <w:rPr>
          <w:sz w:val="22"/>
        </w:rPr>
        <w:t>ing</w:t>
      </w:r>
      <w:r>
        <w:rPr>
          <w:sz w:val="22"/>
        </w:rPr>
        <w:t xml:space="preserve"> </w:t>
      </w:r>
      <w:r w:rsidR="00950788">
        <w:rPr>
          <w:sz w:val="22"/>
        </w:rPr>
        <w:t xml:space="preserve">early </w:t>
      </w:r>
      <w:r>
        <w:rPr>
          <w:sz w:val="22"/>
        </w:rPr>
        <w:t xml:space="preserve">intelligence </w:t>
      </w:r>
      <w:r w:rsidR="00582742">
        <w:rPr>
          <w:sz w:val="22"/>
        </w:rPr>
        <w:t xml:space="preserve">to detect </w:t>
      </w:r>
      <w:r>
        <w:rPr>
          <w:sz w:val="22"/>
        </w:rPr>
        <w:t>harm</w:t>
      </w:r>
      <w:r w:rsidR="00FC7728">
        <w:rPr>
          <w:sz w:val="22"/>
        </w:rPr>
        <w:t>s</w:t>
      </w:r>
      <w:r>
        <w:rPr>
          <w:sz w:val="22"/>
        </w:rPr>
        <w:t xml:space="preserve">. </w:t>
      </w:r>
    </w:p>
    <w:p w14:paraId="184005EA" w14:textId="28D291C0" w:rsidR="00322780" w:rsidRPr="00A16922" w:rsidRDefault="00322780" w:rsidP="00A16922">
      <w:pPr>
        <w:pStyle w:val="numberedtext"/>
        <w:numPr>
          <w:ilvl w:val="0"/>
          <w:numId w:val="21"/>
        </w:numPr>
        <w:ind w:left="567" w:hanging="567"/>
      </w:pPr>
      <w:r w:rsidRPr="00A16922">
        <w:lastRenderedPageBreak/>
        <w:t xml:space="preserve">The ATO provides a powerful example of how a regulator can </w:t>
      </w:r>
      <w:r w:rsidR="00D53C7B">
        <w:t>achieve</w:t>
      </w:r>
      <w:r w:rsidRPr="00A16922">
        <w:t xml:space="preserve"> better outcomes </w:t>
      </w:r>
      <w:r w:rsidR="00D53C7B">
        <w:t>by leveraging</w:t>
      </w:r>
      <w:r w:rsidRPr="00A16922">
        <w:t xml:space="preserve"> its stakeholder relationships. The ATO implemented a program (Reinventing the ATO) designed to improve its regulatory outcomes through cultural and technological transformation. The ATO had an objective of placing its stakeholders at the centre of all engagements. The ATO has raised its stakeholder experience satisfaction to an average of 66 out of 100 on key metrics, compared with 62 out of 100 two</w:t>
      </w:r>
      <w:r w:rsidR="00A16922" w:rsidRPr="00A16922">
        <w:t> </w:t>
      </w:r>
      <w:r w:rsidRPr="00A16922">
        <w:t>years prior.</w:t>
      </w:r>
      <w:r w:rsidRPr="00A16922">
        <w:rPr>
          <w:rStyle w:val="FootnoteReference"/>
        </w:rPr>
        <w:footnoteReference w:id="209"/>
      </w:r>
      <w:r w:rsidRPr="00A16922">
        <w:rPr>
          <w:rStyle w:val="FootnoteReference"/>
        </w:rPr>
        <w:t xml:space="preserve"> </w:t>
      </w:r>
      <w:r w:rsidRPr="00A16922">
        <w:t xml:space="preserve">Refer </w:t>
      </w:r>
      <w:r w:rsidR="00A6032A" w:rsidRPr="00A60647">
        <w:t>Box 6.</w:t>
      </w:r>
      <w:r w:rsidR="00A6032A">
        <w:t>1</w:t>
      </w:r>
      <w:r w:rsidR="00840E20">
        <w:t xml:space="preserve"> </w:t>
      </w:r>
      <w:r w:rsidRPr="00A16922">
        <w:t xml:space="preserve">for more information on this program and client satisfaction results. </w:t>
      </w:r>
    </w:p>
    <w:tbl>
      <w:tblPr>
        <w:tblStyle w:val="TableGrid"/>
        <w:tblW w:w="0" w:type="auto"/>
        <w:tblInd w:w="567" w:type="dxa"/>
        <w:shd w:val="clear" w:color="auto" w:fill="EAEAEA" w:themeFill="background2"/>
        <w:tblCellMar>
          <w:top w:w="170" w:type="dxa"/>
          <w:left w:w="170" w:type="dxa"/>
          <w:bottom w:w="170" w:type="dxa"/>
          <w:right w:w="170" w:type="dxa"/>
        </w:tblCellMar>
        <w:tblLook w:val="04A0" w:firstRow="1" w:lastRow="0" w:firstColumn="1" w:lastColumn="0" w:noHBand="0" w:noVBand="1"/>
      </w:tblPr>
      <w:tblGrid>
        <w:gridCol w:w="8459"/>
      </w:tblGrid>
      <w:tr w:rsidR="00322780" w:rsidRPr="005259CA" w14:paraId="30C7B32E" w14:textId="77777777" w:rsidTr="00A16922">
        <w:tc>
          <w:tcPr>
            <w:tcW w:w="8459" w:type="dxa"/>
            <w:shd w:val="clear" w:color="auto" w:fill="EAEAEA" w:themeFill="background2"/>
          </w:tcPr>
          <w:p w14:paraId="6B2F9E8C" w14:textId="77777777" w:rsidR="00322780" w:rsidRPr="00A60647" w:rsidRDefault="00322780" w:rsidP="00A16922">
            <w:pPr>
              <w:pStyle w:val="BoxHeading"/>
            </w:pPr>
            <w:bookmarkStart w:id="147" w:name="Box_6_1"/>
            <w:r w:rsidRPr="00A60647">
              <w:t>Box 6.</w:t>
            </w:r>
            <w:r>
              <w:t>1</w:t>
            </w:r>
            <w:bookmarkEnd w:id="147"/>
            <w:r w:rsidRPr="00A60647">
              <w:t>: Reinventing the Australian Taxation Office</w:t>
            </w:r>
          </w:p>
          <w:p w14:paraId="1CE25813" w14:textId="599DC0C3" w:rsidR="00322780" w:rsidRPr="00A60647" w:rsidRDefault="00322780" w:rsidP="00A16922">
            <w:pPr>
              <w:pStyle w:val="BoxText"/>
            </w:pPr>
            <w:r w:rsidRPr="00A60647">
              <w:t>To achieve its vision of being a contemporary, service</w:t>
            </w:r>
            <w:r w:rsidR="00EF40B0">
              <w:noBreakHyphen/>
            </w:r>
            <w:r w:rsidRPr="00A60647">
              <w:t xml:space="preserve">oriented organisation, the ATO </w:t>
            </w:r>
            <w:r>
              <w:t xml:space="preserve">has </w:t>
            </w:r>
            <w:r w:rsidRPr="00A60647">
              <w:t xml:space="preserve">transformed how </w:t>
            </w:r>
            <w:r>
              <w:t>its stakeholders (call</w:t>
            </w:r>
            <w:r w:rsidR="0044558C">
              <w:t>ed</w:t>
            </w:r>
            <w:r>
              <w:t xml:space="preserve"> </w:t>
            </w:r>
            <w:r w:rsidR="00EF40B0">
              <w:t>‘</w:t>
            </w:r>
            <w:r w:rsidRPr="00A60647">
              <w:t>clients</w:t>
            </w:r>
            <w:r w:rsidR="00EF40B0">
              <w:t>’</w:t>
            </w:r>
            <w:r w:rsidR="0044558C">
              <w:t xml:space="preserve"> by the ATO</w:t>
            </w:r>
            <w:r>
              <w:t>)</w:t>
            </w:r>
            <w:r w:rsidRPr="00A60647">
              <w:t xml:space="preserve"> and staff experience the tax and super systems.</w:t>
            </w:r>
          </w:p>
          <w:p w14:paraId="32598414" w14:textId="0919E2EB" w:rsidR="00322780" w:rsidRPr="00A60647" w:rsidRDefault="00322780" w:rsidP="00A16922">
            <w:pPr>
              <w:pStyle w:val="BoxText"/>
            </w:pPr>
            <w:r w:rsidRPr="00A60647">
              <w:t xml:space="preserve">The design </w:t>
            </w:r>
            <w:r>
              <w:t xml:space="preserve">has been </w:t>
            </w:r>
            <w:r w:rsidRPr="00A60647">
              <w:t>centred around the client, making sure the ATO</w:t>
            </w:r>
            <w:r w:rsidR="00EF40B0">
              <w:t>’</w:t>
            </w:r>
            <w:r w:rsidRPr="00A60647">
              <w:t xml:space="preserve">s services and interactions are professional, contemporary and tailored, making it easy for clients and staff to get things right. </w:t>
            </w:r>
            <w:r>
              <w:t>The</w:t>
            </w:r>
            <w:r w:rsidRPr="00A60647">
              <w:t xml:space="preserve"> ATO</w:t>
            </w:r>
            <w:r w:rsidR="00EF40B0">
              <w:t>’</w:t>
            </w:r>
            <w:r w:rsidRPr="00A60647">
              <w:t xml:space="preserve">s staff </w:t>
            </w:r>
            <w:r>
              <w:t xml:space="preserve">have been </w:t>
            </w:r>
            <w:r w:rsidRPr="00A60647">
              <w:t xml:space="preserve">empowered and trusted to act and have access to contemporary tools. The ATO </w:t>
            </w:r>
            <w:r>
              <w:t xml:space="preserve">has </w:t>
            </w:r>
            <w:r w:rsidRPr="00A60647">
              <w:t xml:space="preserve">focussed on building strong working relationships with partners in the system to ensure effective and efficient services are provided to the community. </w:t>
            </w:r>
          </w:p>
          <w:p w14:paraId="2F2CCF6E" w14:textId="77777777" w:rsidR="00322780" w:rsidRDefault="00322780" w:rsidP="00A16922">
            <w:pPr>
              <w:pStyle w:val="BoxText"/>
            </w:pPr>
            <w:r w:rsidRPr="00A60647">
              <w:t>The ATO recognised that a critical dependency for supporting improvements to the client experience has been a parallel focus on improving the experience staff have at work when serving the community and the culture of the organisation. </w:t>
            </w:r>
          </w:p>
          <w:p w14:paraId="651E7278" w14:textId="28CF13B2" w:rsidR="00322780" w:rsidRPr="008868C3" w:rsidRDefault="00322780" w:rsidP="00A16922">
            <w:pPr>
              <w:pStyle w:val="BoxText"/>
            </w:pPr>
            <w:r w:rsidRPr="008868C3">
              <w:t xml:space="preserve">The ATO has committed to a program of cultural transformation as represented in its 2024 Culture strategy. The strategy includes </w:t>
            </w:r>
            <w:r w:rsidR="00015333">
              <w:t>5</w:t>
            </w:r>
            <w:r w:rsidR="00015333" w:rsidRPr="008868C3">
              <w:t xml:space="preserve"> </w:t>
            </w:r>
            <w:r w:rsidRPr="008868C3">
              <w:t xml:space="preserve">cultural traits: </w:t>
            </w:r>
            <w:r w:rsidR="00EF40B0">
              <w:t>‘</w:t>
            </w:r>
            <w:r w:rsidRPr="008868C3">
              <w:t>Client focused</w:t>
            </w:r>
            <w:r w:rsidR="00EF40B0">
              <w:t>’</w:t>
            </w:r>
            <w:r w:rsidRPr="008868C3">
              <w:t xml:space="preserve">, </w:t>
            </w:r>
            <w:r w:rsidR="00EF40B0">
              <w:t>‘</w:t>
            </w:r>
            <w:r w:rsidRPr="008868C3">
              <w:t>United and connected</w:t>
            </w:r>
            <w:r w:rsidR="00EF40B0">
              <w:t>’</w:t>
            </w:r>
            <w:r w:rsidRPr="008868C3">
              <w:t xml:space="preserve">, </w:t>
            </w:r>
            <w:r w:rsidR="00EF40B0">
              <w:t>‘</w:t>
            </w:r>
            <w:r w:rsidRPr="008868C3">
              <w:t>Empowered and trusted</w:t>
            </w:r>
            <w:r w:rsidR="00EF40B0">
              <w:t>’</w:t>
            </w:r>
            <w:r w:rsidRPr="008868C3">
              <w:t xml:space="preserve">, </w:t>
            </w:r>
            <w:r w:rsidR="00EF40B0">
              <w:t>‘</w:t>
            </w:r>
            <w:r w:rsidRPr="008868C3">
              <w:t>Future</w:t>
            </w:r>
            <w:r w:rsidR="00EF40B0">
              <w:noBreakHyphen/>
            </w:r>
            <w:r w:rsidRPr="008868C3">
              <w:t>oriented</w:t>
            </w:r>
            <w:r w:rsidR="00EF40B0">
              <w:t>’</w:t>
            </w:r>
            <w:r w:rsidRPr="008868C3">
              <w:t xml:space="preserve"> and </w:t>
            </w:r>
            <w:r w:rsidR="00EF40B0">
              <w:t>‘</w:t>
            </w:r>
            <w:r w:rsidRPr="008868C3">
              <w:t>Passionate and committed</w:t>
            </w:r>
            <w:r w:rsidR="00EF40B0">
              <w:t>’</w:t>
            </w:r>
            <w:r w:rsidRPr="008868C3">
              <w:t>. This cultural change in the way the ATO does its business has led to a better experience for taxpayers and a more satisfied workforce.</w:t>
            </w:r>
            <w:r w:rsidRPr="008868C3">
              <w:rPr>
                <w:rStyle w:val="FootnoteReference"/>
                <w:rFonts w:asciiTheme="minorHAnsi" w:hAnsiTheme="minorHAnsi" w:cstheme="minorHAnsi"/>
                <w:sz w:val="22"/>
                <w:szCs w:val="22"/>
              </w:rPr>
              <w:footnoteReference w:id="210"/>
            </w:r>
          </w:p>
          <w:p w14:paraId="5C1A58AF" w14:textId="69AA3CD5" w:rsidR="00322780" w:rsidRDefault="00322780" w:rsidP="00A16922">
            <w:pPr>
              <w:pStyle w:val="BoxText"/>
            </w:pPr>
            <w:r w:rsidRPr="008868C3">
              <w:t>The ATO</w:t>
            </w:r>
            <w:r w:rsidR="00EF40B0">
              <w:t>’</w:t>
            </w:r>
            <w:r w:rsidRPr="008868C3">
              <w:t>s cultural transformation has enabled a multi</w:t>
            </w:r>
            <w:r w:rsidR="00EF40B0">
              <w:noBreakHyphen/>
            </w:r>
            <w:r w:rsidRPr="008868C3">
              <w:t>year rebuild of IT systems to digitise its services, including digitising and pre</w:t>
            </w:r>
            <w:r w:rsidR="00EF40B0">
              <w:noBreakHyphen/>
            </w:r>
            <w:r w:rsidRPr="008868C3">
              <w:t>filling the personal income tax form; automating pay</w:t>
            </w:r>
            <w:r w:rsidR="00EF40B0">
              <w:noBreakHyphen/>
            </w:r>
            <w:r w:rsidRPr="008868C3">
              <w:t>as</w:t>
            </w:r>
            <w:r w:rsidR="00EF40B0">
              <w:noBreakHyphen/>
            </w:r>
            <w:r w:rsidRPr="008868C3">
              <w:t>you</w:t>
            </w:r>
            <w:r w:rsidR="00EF40B0">
              <w:noBreakHyphen/>
            </w:r>
            <w:r w:rsidRPr="008868C3">
              <w:t>go and superannuation reporting between businesses and government through the Single Touch Payroll; modernising its business registers to streamline how businesses register, view and maintain information with government; and improving its website interface for client useability. The ATO has embedded data into its core services and is now almost wholly digital. In 2020, only about 1.5% of individual tax returns were lodged on paper.</w:t>
            </w:r>
          </w:p>
          <w:p w14:paraId="79C90B69" w14:textId="77F7421F" w:rsidR="00322780" w:rsidRPr="005259CA" w:rsidRDefault="00322780" w:rsidP="00A16922">
            <w:pPr>
              <w:pStyle w:val="BoxText"/>
            </w:pPr>
            <w:r w:rsidRPr="008868C3">
              <w:t>The ATO collects user feedback through multiple channels to ensure it reaches its goals. Its results on factors such as ease, helpfulness, timeliness and effectiveness increased between 3 and 5 index points from 2018</w:t>
            </w:r>
            <w:r w:rsidR="00015C19">
              <w:t>–</w:t>
            </w:r>
            <w:r w:rsidRPr="008868C3">
              <w:t>19 to 2020</w:t>
            </w:r>
            <w:r w:rsidR="005629CF">
              <w:t>–</w:t>
            </w:r>
            <w:r w:rsidRPr="008868C3">
              <w:t>21, resulting in scores between 66/100 and 71/100. Community confidence in the ATO in relation to fairness and partner perceptions of how the ATO is working with them to administer the tax and superannuation system improved 7 index points between 2018</w:t>
            </w:r>
            <w:r w:rsidR="00015C19">
              <w:t>–</w:t>
            </w:r>
            <w:r w:rsidRPr="008868C3">
              <w:t>19 to 2020</w:t>
            </w:r>
            <w:r w:rsidR="005629CF">
              <w:t>–</w:t>
            </w:r>
            <w:r w:rsidRPr="008868C3">
              <w:t>21 to 68/100 and 71/100 respectively.</w:t>
            </w:r>
            <w:r w:rsidRPr="008868C3">
              <w:rPr>
                <w:rStyle w:val="FootnoteReference"/>
                <w:rFonts w:asciiTheme="minorHAnsi" w:hAnsiTheme="minorHAnsi" w:cstheme="minorHAnsi"/>
                <w:sz w:val="22"/>
                <w:szCs w:val="22"/>
              </w:rPr>
              <w:footnoteReference w:id="211"/>
            </w:r>
          </w:p>
        </w:tc>
      </w:tr>
    </w:tbl>
    <w:p w14:paraId="7831C53F" w14:textId="326CCA70" w:rsidR="00322780" w:rsidRPr="001334A6" w:rsidRDefault="00322780" w:rsidP="00975036">
      <w:pPr>
        <w:pStyle w:val="numberedtext"/>
        <w:numPr>
          <w:ilvl w:val="0"/>
          <w:numId w:val="21"/>
        </w:numPr>
        <w:ind w:left="567" w:hanging="567"/>
      </w:pPr>
      <w:r w:rsidRPr="001334A6">
        <w:t xml:space="preserve">While the organisations are different, ASIC can learn from the ATO experience about how </w:t>
      </w:r>
      <w:r>
        <w:t xml:space="preserve">culture, </w:t>
      </w:r>
      <w:r w:rsidRPr="001334A6">
        <w:t>process</w:t>
      </w:r>
      <w:r>
        <w:t>es</w:t>
      </w:r>
      <w:r w:rsidRPr="001334A6">
        <w:t xml:space="preserve"> </w:t>
      </w:r>
      <w:r>
        <w:t xml:space="preserve">and systems </w:t>
      </w:r>
      <w:r w:rsidRPr="001334A6">
        <w:t>can be improved, with a focus on the stakeholder experience that provides benefits to the organisation</w:t>
      </w:r>
      <w:r>
        <w:t xml:space="preserve"> and its stakeholders</w:t>
      </w:r>
      <w:r w:rsidRPr="001334A6">
        <w:t xml:space="preserve">. </w:t>
      </w:r>
      <w:r>
        <w:t xml:space="preserve">As an example, as part of its </w:t>
      </w:r>
      <w:r>
        <w:lastRenderedPageBreak/>
        <w:t xml:space="preserve">reinvention efforts the ATO allowed its call centre staff go </w:t>
      </w:r>
      <w:r w:rsidR="00EF40B0">
        <w:t>‘</w:t>
      </w:r>
      <w:r>
        <w:t>off script</w:t>
      </w:r>
      <w:r w:rsidR="00EF40B0">
        <w:t>’</w:t>
      </w:r>
      <w:r>
        <w:t xml:space="preserve"> when communicating with callers and this led to better resolution of callers</w:t>
      </w:r>
      <w:r w:rsidR="00EF40B0">
        <w:t>’</w:t>
      </w:r>
      <w:r>
        <w:t xml:space="preserve"> queries and ATO staff </w:t>
      </w:r>
      <w:r w:rsidR="00F34A38">
        <w:t xml:space="preserve">members </w:t>
      </w:r>
      <w:r>
        <w:t>feeling more empowered. This is a notable example for ASIC to consider in the licensing context.</w:t>
      </w:r>
    </w:p>
    <w:p w14:paraId="2869046A" w14:textId="77777777" w:rsidR="00322780" w:rsidRPr="002B22C1" w:rsidRDefault="00322780" w:rsidP="00975036">
      <w:pPr>
        <w:pStyle w:val="numberedtext"/>
        <w:numPr>
          <w:ilvl w:val="0"/>
          <w:numId w:val="21"/>
        </w:numPr>
        <w:ind w:left="567" w:hanging="567"/>
      </w:pPr>
      <w:r w:rsidRPr="00B7711D">
        <w:t>The FRAA</w:t>
      </w:r>
      <w:r w:rsidRPr="00B86018">
        <w:t xml:space="preserve"> considers that a cultural shift is required in the way that ASIC </w:t>
      </w:r>
      <w:r>
        <w:t xml:space="preserve">thinks about and </w:t>
      </w:r>
      <w:r w:rsidRPr="00B86018">
        <w:t xml:space="preserve">engages with its regulated population and broader stakeholders. This shift would see ASIC become a more </w:t>
      </w:r>
      <w:r>
        <w:t xml:space="preserve">ambitious and </w:t>
      </w:r>
      <w:r w:rsidRPr="00B86018">
        <w:t>confident regulator</w:t>
      </w:r>
      <w:r>
        <w:t>.</w:t>
      </w:r>
    </w:p>
    <w:tbl>
      <w:tblPr>
        <w:tblStyle w:val="TableGrid"/>
        <w:tblW w:w="0" w:type="auto"/>
        <w:tblInd w:w="567" w:type="dxa"/>
        <w:shd w:val="clear" w:color="auto" w:fill="D5E1F1" w:themeFill="accent2" w:themeFillTint="33"/>
        <w:tblCellMar>
          <w:top w:w="170" w:type="dxa"/>
          <w:left w:w="170" w:type="dxa"/>
          <w:bottom w:w="170" w:type="dxa"/>
          <w:right w:w="170" w:type="dxa"/>
        </w:tblCellMar>
        <w:tblLook w:val="04A0" w:firstRow="1" w:lastRow="0" w:firstColumn="1" w:lastColumn="0" w:noHBand="0" w:noVBand="1"/>
      </w:tblPr>
      <w:tblGrid>
        <w:gridCol w:w="8459"/>
      </w:tblGrid>
      <w:tr w:rsidR="00322780" w:rsidRPr="008B7032" w14:paraId="399BC81E" w14:textId="77777777" w:rsidTr="00A16922">
        <w:tc>
          <w:tcPr>
            <w:tcW w:w="8459" w:type="dxa"/>
            <w:shd w:val="clear" w:color="auto" w:fill="D5E1F1" w:themeFill="accent2" w:themeFillTint="33"/>
          </w:tcPr>
          <w:p w14:paraId="5FDB1A2B" w14:textId="77777777" w:rsidR="00322780" w:rsidRPr="008B7032" w:rsidRDefault="00322780" w:rsidP="00A16922">
            <w:pPr>
              <w:pStyle w:val="BoxHeading"/>
            </w:pPr>
            <w:r w:rsidRPr="008B7032">
              <w:t xml:space="preserve">Recommendation </w:t>
            </w:r>
          </w:p>
          <w:p w14:paraId="7387BE48" w14:textId="77777777" w:rsidR="00322780" w:rsidRPr="008B7032" w:rsidRDefault="00322780" w:rsidP="00A16922">
            <w:pPr>
              <w:pStyle w:val="BoxText"/>
            </w:pPr>
            <w:r w:rsidRPr="00B86018">
              <w:t xml:space="preserve">ASIC should have a stronger focus across the organisation on enhancing the quality of its engagement with stakeholders. </w:t>
            </w:r>
          </w:p>
        </w:tc>
      </w:tr>
    </w:tbl>
    <w:p w14:paraId="2858F965" w14:textId="4A8D0B9C" w:rsidR="00322780" w:rsidRPr="00F02A15" w:rsidRDefault="00322780" w:rsidP="00F02A15">
      <w:pPr>
        <w:pStyle w:val="Heading2"/>
        <w:rPr>
          <w:rFonts w:eastAsiaTheme="minorEastAsia"/>
        </w:rPr>
      </w:pPr>
      <w:bookmarkStart w:id="148" w:name="_Toc110241842"/>
      <w:r w:rsidRPr="00F02A15">
        <w:rPr>
          <w:rFonts w:eastAsiaTheme="minorEastAsia"/>
        </w:rPr>
        <w:t>Measuring, assessing and reporting on outcomes</w:t>
      </w:r>
      <w:bookmarkEnd w:id="148"/>
      <w:r w:rsidRPr="00F02A15">
        <w:rPr>
          <w:rFonts w:eastAsiaTheme="minorEastAsia"/>
        </w:rPr>
        <w:t xml:space="preserve">  </w:t>
      </w:r>
    </w:p>
    <w:p w14:paraId="78647101" w14:textId="1D328B3E" w:rsidR="00322780" w:rsidRDefault="00322780" w:rsidP="00975036">
      <w:pPr>
        <w:pStyle w:val="numberedtext"/>
        <w:numPr>
          <w:ilvl w:val="0"/>
          <w:numId w:val="21"/>
        </w:numPr>
        <w:ind w:left="567" w:hanging="567"/>
      </w:pPr>
      <w:bookmarkStart w:id="149" w:name="_Ref110262796"/>
      <w:r w:rsidRPr="00B97664">
        <w:t xml:space="preserve">As outlined in </w:t>
      </w:r>
      <w:r w:rsidR="00A6032A" w:rsidRPr="00DA3518">
        <w:t>Chapter 1: FRAA objectives and methodology</w:t>
      </w:r>
      <w:r w:rsidRPr="00B97664">
        <w:t xml:space="preserve">, the FRAA considers it important to have enduring metrics that measure regulator effectiveness and capability over time. There are few established measures to draw from and there are inherent challenges in developing new measures. </w:t>
      </w:r>
      <w:r>
        <w:t>T</w:t>
      </w:r>
      <w:r w:rsidRPr="00B97664">
        <w:t>he FRAA</w:t>
      </w:r>
      <w:r>
        <w:t xml:space="preserve"> intends </w:t>
      </w:r>
      <w:r w:rsidRPr="00B97664">
        <w:t xml:space="preserve">to </w:t>
      </w:r>
      <w:r>
        <w:t xml:space="preserve">work with ASIC and broader stakeholders to develop metrics for measuring the effectiveness and capability of the </w:t>
      </w:r>
      <w:r w:rsidR="00652618">
        <w:t>r</w:t>
      </w:r>
      <w:r>
        <w:t>egulators.</w:t>
      </w:r>
      <w:bookmarkEnd w:id="149"/>
    </w:p>
    <w:p w14:paraId="405020FC" w14:textId="11AA6267" w:rsidR="00322780" w:rsidRDefault="00322780" w:rsidP="00975036">
      <w:pPr>
        <w:pStyle w:val="numberedtext"/>
        <w:numPr>
          <w:ilvl w:val="0"/>
          <w:numId w:val="21"/>
        </w:numPr>
        <w:ind w:left="567" w:hanging="567"/>
      </w:pPr>
      <w:r w:rsidRPr="00642878">
        <w:t>As discussed in previous chapters, ASIC does not have embedded measures to assess the outcomes of its activities across strategic planning, prioritisation and decision</w:t>
      </w:r>
      <w:r w:rsidR="00EF40B0">
        <w:noBreakHyphen/>
      </w:r>
      <w:r w:rsidRPr="00642878">
        <w:t>making and licensing</w:t>
      </w:r>
      <w:r>
        <w:t xml:space="preserve"> and is at an early stage in developing these for its </w:t>
      </w:r>
      <w:r w:rsidRPr="00642878">
        <w:t>surveillance</w:t>
      </w:r>
      <w:r>
        <w:t xml:space="preserve"> activities.</w:t>
      </w:r>
    </w:p>
    <w:p w14:paraId="5D0E337E" w14:textId="77777777" w:rsidR="00322780" w:rsidRDefault="00322780" w:rsidP="00975036">
      <w:pPr>
        <w:pStyle w:val="numberedtext"/>
        <w:numPr>
          <w:ilvl w:val="0"/>
          <w:numId w:val="21"/>
        </w:numPr>
        <w:ind w:left="567" w:hanging="567"/>
      </w:pPr>
      <w:r w:rsidRPr="00601DC0">
        <w:t>The FRAA considers it is important that ASIC tackle the question of measuring the effectiveness and capability of its regulatory activities, while acknowledging the challenges in doing so.</w:t>
      </w:r>
    </w:p>
    <w:p w14:paraId="04DA61B6" w14:textId="0AF9CB5D" w:rsidR="00322780" w:rsidRDefault="00322780" w:rsidP="00975036">
      <w:pPr>
        <w:pStyle w:val="numberedtext"/>
        <w:numPr>
          <w:ilvl w:val="0"/>
          <w:numId w:val="21"/>
        </w:numPr>
        <w:ind w:left="567" w:hanging="567"/>
      </w:pPr>
      <w:r>
        <w:t>E</w:t>
      </w:r>
      <w:r w:rsidRPr="00642878">
        <w:t xml:space="preserve">stablishing these measures </w:t>
      </w:r>
      <w:r w:rsidR="00D4576D">
        <w:t>is expected to</w:t>
      </w:r>
      <w:r w:rsidRPr="00642878">
        <w:t xml:space="preserve"> provide an evidence base for continual review of ASIC</w:t>
      </w:r>
      <w:r w:rsidR="00EF40B0">
        <w:t>’</w:t>
      </w:r>
      <w:r w:rsidRPr="00642878">
        <w:t xml:space="preserve">s effectiveness and capability and is consistent </w:t>
      </w:r>
      <w:r>
        <w:t xml:space="preserve">with </w:t>
      </w:r>
      <w:r w:rsidRPr="00642878">
        <w:t>ASIC</w:t>
      </w:r>
      <w:r w:rsidR="00EF40B0">
        <w:t>’</w:t>
      </w:r>
      <w:r w:rsidRPr="00642878">
        <w:t xml:space="preserve">s commitment under its Statement of Intent to identify and pursue opportunities to continuously improve </w:t>
      </w:r>
      <w:r>
        <w:t xml:space="preserve">its </w:t>
      </w:r>
      <w:r w:rsidRPr="00642878">
        <w:t>performance.</w:t>
      </w:r>
      <w:r w:rsidRPr="008414E5">
        <w:rPr>
          <w:rStyle w:val="FootnoteReference"/>
        </w:rPr>
        <w:footnoteReference w:id="212"/>
      </w:r>
      <w:r w:rsidRPr="002C41AF">
        <w:t xml:space="preserve"> </w:t>
      </w:r>
      <w:r>
        <w:t xml:space="preserve">It is consistent with </w:t>
      </w:r>
      <w:r w:rsidRPr="00601DC0">
        <w:t xml:space="preserve">the </w:t>
      </w:r>
      <w:r w:rsidR="0096347A">
        <w:t>G</w:t>
      </w:r>
      <w:r w:rsidRPr="00601DC0">
        <w:t>overnment</w:t>
      </w:r>
      <w:r w:rsidR="00EF40B0">
        <w:t>’</w:t>
      </w:r>
      <w:r w:rsidRPr="00601DC0">
        <w:t xml:space="preserve">s </w:t>
      </w:r>
      <w:r>
        <w:t>R</w:t>
      </w:r>
      <w:r w:rsidRPr="00601DC0">
        <w:t xml:space="preserve">egulator </w:t>
      </w:r>
      <w:r>
        <w:t>P</w:t>
      </w:r>
      <w:r w:rsidRPr="00601DC0">
        <w:t xml:space="preserve">erformance </w:t>
      </w:r>
      <w:r>
        <w:t>G</w:t>
      </w:r>
      <w:r w:rsidRPr="00601DC0">
        <w:t>uide</w:t>
      </w:r>
      <w:r>
        <w:t xml:space="preserve"> that encourages </w:t>
      </w:r>
      <w:r w:rsidRPr="00601DC0">
        <w:t xml:space="preserve">regulators to develop </w:t>
      </w:r>
      <w:r w:rsidRPr="001E660C">
        <w:t>outcomes focussed performance measures to report on their performance</w:t>
      </w:r>
      <w:r w:rsidRPr="00601DC0">
        <w:t>.</w:t>
      </w:r>
      <w:r>
        <w:rPr>
          <w:rStyle w:val="FootnoteReference"/>
          <w:sz w:val="22"/>
        </w:rPr>
        <w:footnoteReference w:id="213"/>
      </w:r>
      <w:r w:rsidRPr="00601DC0">
        <w:t xml:space="preserve"> </w:t>
      </w:r>
    </w:p>
    <w:p w14:paraId="48E33D09" w14:textId="679C0300" w:rsidR="00322780" w:rsidRPr="00642878" w:rsidRDefault="00322780" w:rsidP="00975036">
      <w:pPr>
        <w:pStyle w:val="numberedtext"/>
        <w:numPr>
          <w:ilvl w:val="0"/>
          <w:numId w:val="21"/>
        </w:numPr>
        <w:ind w:left="567" w:hanging="567"/>
      </w:pPr>
      <w:r>
        <w:t>The FRAA</w:t>
      </w:r>
      <w:r w:rsidR="00EF40B0">
        <w:t>’</w:t>
      </w:r>
      <w:r>
        <w:t>s view is that e</w:t>
      </w:r>
      <w:r w:rsidRPr="00642878">
        <w:t xml:space="preserve">mbedding assessment measures into business processes </w:t>
      </w:r>
      <w:r w:rsidR="00D4576D">
        <w:t>should</w:t>
      </w:r>
      <w:r w:rsidRPr="00642878">
        <w:t xml:space="preserve"> allow ASIC to make better decisions around priorities and resource allocation. It </w:t>
      </w:r>
      <w:r w:rsidR="00D4576D">
        <w:t>should</w:t>
      </w:r>
      <w:r w:rsidRPr="00642878">
        <w:t xml:space="preserve"> also support ASIC to assess whether surveillances are having the intended impact, as well as whether any regulatory impost is justified by the outcomes being achieved. In licensing, it would allow ASIC to assess the quality of its decisions and the effectiveness of its role as a gatekeeper to the financial system.</w:t>
      </w:r>
    </w:p>
    <w:p w14:paraId="50A96BC5" w14:textId="1CE58CB8" w:rsidR="00322780" w:rsidRPr="000B5636" w:rsidRDefault="00322780" w:rsidP="00975036">
      <w:pPr>
        <w:pStyle w:val="numberedtext"/>
        <w:numPr>
          <w:ilvl w:val="0"/>
          <w:numId w:val="21"/>
        </w:numPr>
        <w:ind w:left="567" w:hanging="567"/>
      </w:pPr>
      <w:r w:rsidRPr="00B63016">
        <w:t>The FRAA acknowledges ASIC</w:t>
      </w:r>
      <w:r w:rsidR="00EF40B0">
        <w:t>’</w:t>
      </w:r>
      <w:r w:rsidRPr="00B63016">
        <w:t>s plans to better measure the outcomes of its activities and supports ASIC achieving this via a well</w:t>
      </w:r>
      <w:r w:rsidR="00EF40B0">
        <w:noBreakHyphen/>
      </w:r>
      <w:r w:rsidRPr="00B63016">
        <w:t>considered and transparent process.</w:t>
      </w:r>
      <w:r w:rsidRPr="000B5636">
        <w:t xml:space="preserve"> In its 2021</w:t>
      </w:r>
      <w:r w:rsidR="005629CF">
        <w:t>–</w:t>
      </w:r>
      <w:r w:rsidRPr="000B5636">
        <w:t>25 Corporate Plan ASIC sets out how it will measure outcomes and the evidence ASIC would gather to determine whether those outcomes have been achieved.</w:t>
      </w:r>
      <w:r w:rsidRPr="00727488">
        <w:rPr>
          <w:rStyle w:val="FootnoteReference"/>
        </w:rPr>
        <w:footnoteReference w:id="214"/>
      </w:r>
      <w:r w:rsidRPr="000B5636">
        <w:t xml:space="preserve"> It includes a sample of outcomes that it will use to evaluate its performance and the evidence of those outcomes. </w:t>
      </w:r>
    </w:p>
    <w:p w14:paraId="0E9834D1" w14:textId="3B7AFF1F" w:rsidR="00322780" w:rsidRPr="00642878" w:rsidRDefault="00322780" w:rsidP="00975036">
      <w:pPr>
        <w:pStyle w:val="numberedtext"/>
        <w:numPr>
          <w:ilvl w:val="0"/>
          <w:numId w:val="21"/>
        </w:numPr>
        <w:ind w:left="567" w:hanging="567"/>
      </w:pPr>
      <w:r w:rsidRPr="00586D37">
        <w:lastRenderedPageBreak/>
        <w:t>The FRAA considers that the results of the</w:t>
      </w:r>
      <w:r w:rsidRPr="0010527D">
        <w:t xml:space="preserve"> </w:t>
      </w:r>
      <w:r w:rsidRPr="00586D37">
        <w:t xml:space="preserve">measures </w:t>
      </w:r>
      <w:r>
        <w:t xml:space="preserve">that </w:t>
      </w:r>
      <w:r w:rsidRPr="00586D37">
        <w:t xml:space="preserve">ASIC develops should be </w:t>
      </w:r>
      <w:r>
        <w:t xml:space="preserve">published </w:t>
      </w:r>
      <w:r w:rsidRPr="00586D37">
        <w:t>to increase transparency and accountability</w:t>
      </w:r>
      <w:r w:rsidRPr="00425A97">
        <w:t xml:space="preserve">. </w:t>
      </w:r>
      <w:r>
        <w:t>T</w:t>
      </w:r>
      <w:r w:rsidRPr="00586D37">
        <w:t xml:space="preserve">his reporting would supplement existing reporting mechanisms such as the annual performance statement in the </w:t>
      </w:r>
      <w:r w:rsidR="008555D7">
        <w:t>A</w:t>
      </w:r>
      <w:r w:rsidRPr="00586D37">
        <w:t xml:space="preserve">nnual </w:t>
      </w:r>
      <w:r w:rsidR="008555D7">
        <w:t>R</w:t>
      </w:r>
      <w:r w:rsidRPr="00586D37">
        <w:t>eport</w:t>
      </w:r>
      <w:r>
        <w:t xml:space="preserve"> and </w:t>
      </w:r>
      <w:r w:rsidRPr="0010527D">
        <w:t>support the work of other accountability mechanisms such as the Parliamentary Joint Committee on Corporations and Financial Services</w:t>
      </w:r>
      <w:r w:rsidRPr="00425A97">
        <w:t>.</w:t>
      </w:r>
    </w:p>
    <w:tbl>
      <w:tblPr>
        <w:tblStyle w:val="TableGrid"/>
        <w:tblW w:w="0" w:type="auto"/>
        <w:tblInd w:w="567" w:type="dxa"/>
        <w:shd w:val="clear" w:color="auto" w:fill="D5E1F1" w:themeFill="accent2" w:themeFillTint="33"/>
        <w:tblCellMar>
          <w:top w:w="170" w:type="dxa"/>
          <w:left w:w="170" w:type="dxa"/>
          <w:bottom w:w="170" w:type="dxa"/>
          <w:right w:w="170" w:type="dxa"/>
        </w:tblCellMar>
        <w:tblLook w:val="04A0" w:firstRow="1" w:lastRow="0" w:firstColumn="1" w:lastColumn="0" w:noHBand="0" w:noVBand="1"/>
      </w:tblPr>
      <w:tblGrid>
        <w:gridCol w:w="8459"/>
      </w:tblGrid>
      <w:tr w:rsidR="00322780" w:rsidRPr="00E82B8D" w14:paraId="397799AE" w14:textId="77777777" w:rsidTr="00415955">
        <w:tc>
          <w:tcPr>
            <w:tcW w:w="8459" w:type="dxa"/>
            <w:shd w:val="clear" w:color="auto" w:fill="D5E1F1" w:themeFill="accent2" w:themeFillTint="33"/>
          </w:tcPr>
          <w:p w14:paraId="002EFE03" w14:textId="77777777" w:rsidR="00322780" w:rsidRPr="00E82B8D" w:rsidRDefault="00322780" w:rsidP="00415955">
            <w:pPr>
              <w:pStyle w:val="BoxHeading"/>
            </w:pPr>
            <w:r w:rsidRPr="00E82B8D">
              <w:t xml:space="preserve">Recommendation </w:t>
            </w:r>
          </w:p>
          <w:p w14:paraId="25D36287" w14:textId="0B5EC685" w:rsidR="00322780" w:rsidRPr="00E82B8D" w:rsidRDefault="00322780" w:rsidP="00415955">
            <w:pPr>
              <w:pStyle w:val="BoxText"/>
            </w:pPr>
            <w:r w:rsidRPr="00E82B8D">
              <w:t>ASIC should develop measures of its effectiveness and capability in meeting its objectives</w:t>
            </w:r>
            <w:r w:rsidR="0031119A">
              <w:t>,</w:t>
            </w:r>
            <w:r w:rsidRPr="00E82B8D">
              <w:t xml:space="preserve"> and communicate the outcomes transparently both internally and externally.</w:t>
            </w:r>
          </w:p>
        </w:tc>
      </w:tr>
    </w:tbl>
    <w:p w14:paraId="3C4F78C2" w14:textId="77777777" w:rsidR="00322780" w:rsidRPr="00F02A15" w:rsidRDefault="00322780" w:rsidP="00F02A15">
      <w:pPr>
        <w:pStyle w:val="Heading2"/>
        <w:rPr>
          <w:rFonts w:eastAsiaTheme="minorEastAsia"/>
        </w:rPr>
      </w:pPr>
      <w:bookmarkStart w:id="150" w:name="_Toc110241843"/>
      <w:r w:rsidRPr="00F02A15">
        <w:rPr>
          <w:rFonts w:eastAsiaTheme="minorEastAsia"/>
        </w:rPr>
        <w:t>Mix of skill sets</w:t>
      </w:r>
      <w:bookmarkEnd w:id="150"/>
    </w:p>
    <w:p w14:paraId="4FD88E6E" w14:textId="10818C48" w:rsidR="00322780" w:rsidRDefault="00322780" w:rsidP="00975036">
      <w:pPr>
        <w:pStyle w:val="numberedtext"/>
        <w:numPr>
          <w:ilvl w:val="0"/>
          <w:numId w:val="21"/>
        </w:numPr>
        <w:ind w:left="567" w:hanging="567"/>
      </w:pPr>
      <w:r w:rsidRPr="00181452">
        <w:t>Maintaining the right mix of skill</w:t>
      </w:r>
      <w:r>
        <w:t xml:space="preserve"> </w:t>
      </w:r>
      <w:r w:rsidRPr="00181452">
        <w:t xml:space="preserve">sets is essential to the effectiveness and capability of any organisation. </w:t>
      </w:r>
      <w:r>
        <w:t xml:space="preserve">In this </w:t>
      </w:r>
      <w:r w:rsidR="00E26E12">
        <w:t>r</w:t>
      </w:r>
      <w:r>
        <w:t>eview, t</w:t>
      </w:r>
      <w:r w:rsidRPr="00181452">
        <w:t xml:space="preserve">he FRAA has considered the skills of </w:t>
      </w:r>
      <w:r w:rsidR="00D706BC">
        <w:t>ASIC</w:t>
      </w:r>
      <w:r w:rsidR="00EF40B0">
        <w:t>’</w:t>
      </w:r>
      <w:r w:rsidR="00D706BC">
        <w:t>s</w:t>
      </w:r>
      <w:r w:rsidR="00D706BC" w:rsidRPr="00181452">
        <w:t xml:space="preserve"> </w:t>
      </w:r>
      <w:r w:rsidRPr="00181452">
        <w:t xml:space="preserve">people and any cultural factors that influence </w:t>
      </w:r>
      <w:r w:rsidR="00D706BC">
        <w:t>its</w:t>
      </w:r>
      <w:r w:rsidR="00D706BC" w:rsidRPr="00181452">
        <w:t xml:space="preserve"> </w:t>
      </w:r>
      <w:r w:rsidRPr="00181452">
        <w:t>performance. It also had regard to how ASIC is placed to develop the necessary skill</w:t>
      </w:r>
      <w:r>
        <w:t xml:space="preserve"> </w:t>
      </w:r>
      <w:r w:rsidRPr="00181452">
        <w:t xml:space="preserve">sets and competencies for the future. </w:t>
      </w:r>
    </w:p>
    <w:p w14:paraId="1130A2D7" w14:textId="6D2C531A" w:rsidR="00ED4EB3" w:rsidRDefault="00322780" w:rsidP="00975036">
      <w:pPr>
        <w:pStyle w:val="numberedtext"/>
        <w:numPr>
          <w:ilvl w:val="0"/>
          <w:numId w:val="21"/>
        </w:numPr>
        <w:ind w:left="567" w:hanging="567"/>
      </w:pPr>
      <w:r>
        <w:t xml:space="preserve">To implement the recommendations in this report, the FRAA considers that ASIC will need </w:t>
      </w:r>
      <w:r w:rsidR="00366823">
        <w:t xml:space="preserve">to continue to build </w:t>
      </w:r>
      <w:r w:rsidR="008F09CB">
        <w:t>its</w:t>
      </w:r>
      <w:r w:rsidR="00366823">
        <w:t xml:space="preserve"> </w:t>
      </w:r>
      <w:r>
        <w:t>people and organisation</w:t>
      </w:r>
      <w:r w:rsidR="00366823">
        <w:t>al</w:t>
      </w:r>
      <w:r>
        <w:t xml:space="preserve"> skills</w:t>
      </w:r>
      <w:r w:rsidR="00ED4EB3">
        <w:t xml:space="preserve">, </w:t>
      </w:r>
      <w:r w:rsidR="00C07962">
        <w:t xml:space="preserve">and </w:t>
      </w:r>
      <w:r>
        <w:t>cultural setting</w:t>
      </w:r>
      <w:r w:rsidR="00D14F4B">
        <w:t xml:space="preserve"> </w:t>
      </w:r>
      <w:r>
        <w:t>to</w:t>
      </w:r>
      <w:r w:rsidR="00ED4EB3">
        <w:t>:</w:t>
      </w:r>
    </w:p>
    <w:p w14:paraId="1FF09D94" w14:textId="67621003" w:rsidR="00ED4EB3" w:rsidRDefault="00322780" w:rsidP="00923A66">
      <w:pPr>
        <w:pStyle w:val="Bullet"/>
      </w:pPr>
      <w:r>
        <w:t xml:space="preserve">support data and </w:t>
      </w:r>
      <w:r w:rsidRPr="00923A66">
        <w:t>technology</w:t>
      </w:r>
      <w:r w:rsidRPr="002A385C">
        <w:t xml:space="preserve"> </w:t>
      </w:r>
      <w:r>
        <w:t>uplift plans</w:t>
      </w:r>
    </w:p>
    <w:p w14:paraId="6355417B" w14:textId="40415B4C" w:rsidR="00ED4EB3" w:rsidRDefault="00CB1311" w:rsidP="00923A66">
      <w:pPr>
        <w:pStyle w:val="Bullet"/>
      </w:pPr>
      <w:r>
        <w:t>improve</w:t>
      </w:r>
      <w:r w:rsidR="00322780">
        <w:t xml:space="preserve"> </w:t>
      </w:r>
      <w:r w:rsidR="00322780" w:rsidRPr="0077021B">
        <w:rPr>
          <w:rFonts w:cstheme="minorHAnsi"/>
        </w:rPr>
        <w:t>engagement</w:t>
      </w:r>
      <w:r w:rsidR="00322780">
        <w:t xml:space="preserve"> with </w:t>
      </w:r>
      <w:r w:rsidR="00322780" w:rsidRPr="002A385C">
        <w:t>stakeholders</w:t>
      </w:r>
    </w:p>
    <w:p w14:paraId="41DCF7A4" w14:textId="6136C982" w:rsidR="00322780" w:rsidRPr="002A385C" w:rsidRDefault="00D14F4B" w:rsidP="00923A66">
      <w:pPr>
        <w:pStyle w:val="Bullet"/>
      </w:pPr>
      <w:r>
        <w:t xml:space="preserve">enable </w:t>
      </w:r>
      <w:r w:rsidR="00CB1311">
        <w:t xml:space="preserve">continual </w:t>
      </w:r>
      <w:r w:rsidR="00322780">
        <w:t>self</w:t>
      </w:r>
      <w:r w:rsidR="00EF40B0">
        <w:noBreakHyphen/>
      </w:r>
      <w:r w:rsidR="00322780" w:rsidRPr="00923A66">
        <w:t>assessment</w:t>
      </w:r>
      <w:r w:rsidR="00322780" w:rsidRPr="002A385C">
        <w:t>. </w:t>
      </w:r>
    </w:p>
    <w:p w14:paraId="551514B6" w14:textId="0156F554" w:rsidR="00322780" w:rsidRDefault="00322780" w:rsidP="00975036">
      <w:pPr>
        <w:pStyle w:val="numberedtext"/>
        <w:numPr>
          <w:ilvl w:val="0"/>
          <w:numId w:val="21"/>
        </w:numPr>
        <w:ind w:left="567" w:hanging="567"/>
      </w:pPr>
      <w:r w:rsidRPr="00542A77">
        <w:t>Alongside investments in technology, ASIC will need to build skill sets in the use of technology and data analytics to support it to become a digitally enabled regulator. These skill sets</w:t>
      </w:r>
      <w:r w:rsidR="00E07493">
        <w:t xml:space="preserve"> should</w:t>
      </w:r>
      <w:r w:rsidRPr="00542A77">
        <w:t xml:space="preserve"> support ASIC to efficiently analyse data for insights and trends and to draw meaningful conclusions from complex and varied data sources. The </w:t>
      </w:r>
      <w:r w:rsidR="00027817">
        <w:t>G</w:t>
      </w:r>
      <w:r w:rsidRPr="00542A77">
        <w:t>overnment</w:t>
      </w:r>
      <w:r w:rsidR="00EF40B0">
        <w:t>’</w:t>
      </w:r>
      <w:r w:rsidRPr="00542A77">
        <w:t xml:space="preserve">s </w:t>
      </w:r>
      <w:r w:rsidR="00027817">
        <w:t>R</w:t>
      </w:r>
      <w:r w:rsidRPr="00542A77">
        <w:t xml:space="preserve">egulator </w:t>
      </w:r>
      <w:r w:rsidR="00027817">
        <w:t>P</w:t>
      </w:r>
      <w:r w:rsidRPr="00542A77">
        <w:t xml:space="preserve">erformance </w:t>
      </w:r>
      <w:r w:rsidR="00027817">
        <w:t>G</w:t>
      </w:r>
      <w:r w:rsidRPr="00542A77">
        <w:t xml:space="preserve">uide recognises the importance of regulators building </w:t>
      </w:r>
      <w:r w:rsidR="00EF40B0">
        <w:t>‘</w:t>
      </w:r>
      <w:r w:rsidRPr="00542A77">
        <w:t>staff and organisational data capability and digital literacy</w:t>
      </w:r>
      <w:r w:rsidR="00EF40B0">
        <w:t>’</w:t>
      </w:r>
      <w:r w:rsidR="00792604">
        <w:t xml:space="preserve"> </w:t>
      </w:r>
      <w:r w:rsidRPr="00542A77">
        <w:t>to help regulators better understand and manage risks.</w:t>
      </w:r>
      <w:r>
        <w:rPr>
          <w:rStyle w:val="FootnoteReference"/>
          <w:sz w:val="22"/>
        </w:rPr>
        <w:footnoteReference w:id="215"/>
      </w:r>
    </w:p>
    <w:p w14:paraId="24C8648F" w14:textId="434EE981" w:rsidR="00322780" w:rsidRDefault="00322780" w:rsidP="00975036">
      <w:pPr>
        <w:pStyle w:val="numberedtext"/>
        <w:numPr>
          <w:ilvl w:val="0"/>
          <w:numId w:val="21"/>
        </w:numPr>
        <w:ind w:left="567" w:hanging="567"/>
      </w:pPr>
      <w:r w:rsidRPr="00F60E77">
        <w:t xml:space="preserve">To enhance the quality of engagement with its stakeholders, ASIC staff should be equipped with the necessary skills and experience. This will require building capability across ASIC to engage in open and constructive dialogue with stakeholders. Quality engagements </w:t>
      </w:r>
      <w:r>
        <w:t>will a</w:t>
      </w:r>
      <w:r w:rsidRPr="00F60E77">
        <w:t>lso</w:t>
      </w:r>
      <w:r>
        <w:t xml:space="preserve"> need to be</w:t>
      </w:r>
      <w:r w:rsidRPr="00F60E77">
        <w:t xml:space="preserve"> supported </w:t>
      </w:r>
      <w:r>
        <w:t xml:space="preserve">with </w:t>
      </w:r>
      <w:r w:rsidRPr="00F60E77">
        <w:t xml:space="preserve">the necessary </w:t>
      </w:r>
      <w:r>
        <w:t xml:space="preserve">experience in </w:t>
      </w:r>
      <w:r w:rsidRPr="00F60E77">
        <w:t xml:space="preserve">contemporary and emerging market areas </w:t>
      </w:r>
      <w:r w:rsidR="00E72729">
        <w:t xml:space="preserve">of risk </w:t>
      </w:r>
      <w:r w:rsidRPr="00F60E77">
        <w:t xml:space="preserve">such as </w:t>
      </w:r>
      <w:r w:rsidR="00A7002F">
        <w:t xml:space="preserve">those relating to </w:t>
      </w:r>
      <w:r w:rsidRPr="00F60E77">
        <w:t xml:space="preserve">crypto, cyber and climate change. These types of </w:t>
      </w:r>
      <w:r>
        <w:t xml:space="preserve">experience and </w:t>
      </w:r>
      <w:r w:rsidRPr="00F60E77">
        <w:t xml:space="preserve">skill sets must be complemented with regulatory skills and experience in regulatory judgement. </w:t>
      </w:r>
    </w:p>
    <w:p w14:paraId="36C67EA4" w14:textId="54D3EF08" w:rsidR="00322780" w:rsidRPr="00037DF3" w:rsidRDefault="00322780" w:rsidP="00975036">
      <w:pPr>
        <w:pStyle w:val="numberedtext"/>
        <w:numPr>
          <w:ilvl w:val="0"/>
          <w:numId w:val="21"/>
        </w:numPr>
        <w:ind w:left="567" w:hanging="567"/>
      </w:pPr>
      <w:r w:rsidRPr="00037DF3">
        <w:t xml:space="preserve">Developing and implementing measures of its effectiveness and capability will need to be accompanied by a culture of continuous improvement. The </w:t>
      </w:r>
      <w:r w:rsidR="008555D7">
        <w:t>G</w:t>
      </w:r>
      <w:r w:rsidRPr="00037DF3">
        <w:t>overnment</w:t>
      </w:r>
      <w:r w:rsidR="00EF40B0">
        <w:t>’</w:t>
      </w:r>
      <w:r w:rsidRPr="00037DF3">
        <w:t xml:space="preserve">s </w:t>
      </w:r>
      <w:r w:rsidR="00B85D7F">
        <w:t>R</w:t>
      </w:r>
      <w:r w:rsidRPr="00037DF3">
        <w:t xml:space="preserve">egulator </w:t>
      </w:r>
      <w:r w:rsidR="00B85D7F">
        <w:t>P</w:t>
      </w:r>
      <w:r w:rsidRPr="00037DF3">
        <w:t xml:space="preserve">erformance </w:t>
      </w:r>
      <w:r w:rsidR="00B85D7F">
        <w:t>G</w:t>
      </w:r>
      <w:r w:rsidRPr="00037DF3">
        <w:t xml:space="preserve">uide suggests that regulators should </w:t>
      </w:r>
      <w:r w:rsidR="00EF40B0">
        <w:t>‘</w:t>
      </w:r>
      <w:r w:rsidRPr="00F54A28">
        <w:t>actively build staff capability</w:t>
      </w:r>
      <w:r w:rsidR="00EF40B0">
        <w:t>’</w:t>
      </w:r>
      <w:r w:rsidR="00DF5B40">
        <w:t>,</w:t>
      </w:r>
      <w:r w:rsidRPr="00F54A28">
        <w:t xml:space="preserve"> and ensure they </w:t>
      </w:r>
      <w:r w:rsidR="00EF40B0">
        <w:t>‘</w:t>
      </w:r>
      <w:r w:rsidRPr="00037DF3">
        <w:t>have the capacity and are empowered to identify and implement improved practices</w:t>
      </w:r>
      <w:r w:rsidR="00EF40B0">
        <w:t>’</w:t>
      </w:r>
      <w:r w:rsidRPr="00037DF3">
        <w:t>.</w:t>
      </w:r>
      <w:r w:rsidRPr="00502583">
        <w:rPr>
          <w:vertAlign w:val="superscript"/>
        </w:rPr>
        <w:footnoteReference w:id="216"/>
      </w:r>
    </w:p>
    <w:p w14:paraId="77F5385C" w14:textId="5978BD69" w:rsidR="00322780" w:rsidRPr="00790AE3" w:rsidRDefault="00322780" w:rsidP="00975036">
      <w:pPr>
        <w:pStyle w:val="numberedtext"/>
        <w:numPr>
          <w:ilvl w:val="0"/>
          <w:numId w:val="21"/>
        </w:numPr>
        <w:ind w:left="567" w:hanging="567"/>
      </w:pPr>
      <w:r w:rsidRPr="00294707">
        <w:t xml:space="preserve">ASIC recognises that its staff </w:t>
      </w:r>
      <w:r w:rsidR="004F252D">
        <w:t xml:space="preserve">members </w:t>
      </w:r>
      <w:r w:rsidRPr="00294707">
        <w:t xml:space="preserve">are key to the ongoing effectiveness of the organisation. Since </w:t>
      </w:r>
      <w:r w:rsidRPr="0099333E">
        <w:t>2020,</w:t>
      </w:r>
      <w:r w:rsidRPr="00294707">
        <w:t xml:space="preserve"> there has been an increase in staff </w:t>
      </w:r>
      <w:r w:rsidR="009C126F">
        <w:t>members</w:t>
      </w:r>
      <w:r w:rsidR="00EF40B0">
        <w:t>’</w:t>
      </w:r>
      <w:r w:rsidRPr="00294707">
        <w:t xml:space="preserve"> qualifications and experience in digital and data analytics. ASIC has adjusted the allocation of graduate </w:t>
      </w:r>
      <w:r w:rsidRPr="00294707">
        <w:lastRenderedPageBreak/>
        <w:t xml:space="preserve">placements to reflect priorities and future capability needs </w:t>
      </w:r>
      <w:r>
        <w:t xml:space="preserve">and </w:t>
      </w:r>
      <w:r w:rsidRPr="00294707">
        <w:t>in 2023 it will target areas such as mathematics, statistics, IT and data and analytics</w:t>
      </w:r>
      <w:r w:rsidRPr="307D55F6">
        <w:t xml:space="preserve"> (refer </w:t>
      </w:r>
      <w:r w:rsidR="00573092">
        <w:t xml:space="preserve">paragraph </w:t>
      </w:r>
      <w:r w:rsidR="00A6032A">
        <w:t>4.53</w:t>
      </w:r>
      <w:r w:rsidRPr="307D55F6">
        <w:t>)</w:t>
      </w:r>
      <w:r w:rsidRPr="00294707">
        <w:t>.</w:t>
      </w:r>
    </w:p>
    <w:p w14:paraId="15801903" w14:textId="75A15344" w:rsidR="00322780" w:rsidRPr="00E24DCD" w:rsidRDefault="00322780" w:rsidP="00975036">
      <w:pPr>
        <w:pStyle w:val="numberedtext"/>
        <w:numPr>
          <w:ilvl w:val="0"/>
          <w:numId w:val="21"/>
        </w:numPr>
        <w:ind w:left="567" w:hanging="567"/>
      </w:pPr>
      <w:r>
        <w:t xml:space="preserve">During this </w:t>
      </w:r>
      <w:r w:rsidR="00E26E12">
        <w:t>r</w:t>
      </w:r>
      <w:r>
        <w:t xml:space="preserve">eview, </w:t>
      </w:r>
      <w:r w:rsidRPr="001334A6">
        <w:t xml:space="preserve">ASIC </w:t>
      </w:r>
      <w:r w:rsidR="001F1C5B">
        <w:t>completed</w:t>
      </w:r>
      <w:r w:rsidR="001F1C5B" w:rsidRPr="001334A6">
        <w:t xml:space="preserve"> </w:t>
      </w:r>
      <w:r w:rsidRPr="001334A6">
        <w:t>a new People Strategy. Th</w:t>
      </w:r>
      <w:r>
        <w:t xml:space="preserve">is </w:t>
      </w:r>
      <w:r w:rsidR="001F1C5B">
        <w:t>s</w:t>
      </w:r>
      <w:r w:rsidRPr="001334A6">
        <w:t xml:space="preserve">trategy </w:t>
      </w:r>
      <w:r>
        <w:t>is designed to support ASIC to be</w:t>
      </w:r>
      <w:r w:rsidR="00CB1311">
        <w:t>come</w:t>
      </w:r>
      <w:r>
        <w:t xml:space="preserve"> more </w:t>
      </w:r>
      <w:r w:rsidRPr="0099333E">
        <w:t xml:space="preserve">digitally enabled and regulate emerging areas, equip staff </w:t>
      </w:r>
      <w:r w:rsidR="001F1C5B">
        <w:t xml:space="preserve">members </w:t>
      </w:r>
      <w:r w:rsidRPr="0099333E">
        <w:t xml:space="preserve">with the right mindset, tools and capabilities and uplift organisational leadership to embed a </w:t>
      </w:r>
      <w:r w:rsidR="00EF40B0">
        <w:t>‘</w:t>
      </w:r>
      <w:r w:rsidRPr="0099333E">
        <w:t>whole</w:t>
      </w:r>
      <w:r w:rsidR="00EF40B0">
        <w:noBreakHyphen/>
      </w:r>
      <w:r w:rsidRPr="0099333E">
        <w:t>of</w:t>
      </w:r>
      <w:r w:rsidR="00EF40B0">
        <w:noBreakHyphen/>
      </w:r>
      <w:r w:rsidRPr="0099333E">
        <w:t>ASIC</w:t>
      </w:r>
      <w:r w:rsidR="00EF40B0">
        <w:t>’</w:t>
      </w:r>
      <w:r w:rsidRPr="0099333E">
        <w:t xml:space="preserve"> culture. </w:t>
      </w:r>
      <w:r w:rsidRPr="00E24DCD">
        <w:t>ASIC intends to recruit a Head of Workforce Management who will be responsible for, among other things, defining and building the organisational workforce strategy.</w:t>
      </w:r>
    </w:p>
    <w:p w14:paraId="6E4C37AB" w14:textId="3328BA26" w:rsidR="00322780" w:rsidRPr="00B55DAB" w:rsidRDefault="00322780" w:rsidP="00975036">
      <w:pPr>
        <w:pStyle w:val="numberedtext"/>
        <w:numPr>
          <w:ilvl w:val="0"/>
          <w:numId w:val="21"/>
        </w:numPr>
        <w:ind w:left="567" w:hanging="567"/>
      </w:pPr>
      <w:r w:rsidRPr="00F96C4C">
        <w:t>The FRAA supports ASIC</w:t>
      </w:r>
      <w:r w:rsidR="00EF40B0">
        <w:t>’</w:t>
      </w:r>
      <w:r w:rsidRPr="00F96C4C">
        <w:t xml:space="preserve">s new People Strategy and its initiatives to </w:t>
      </w:r>
      <w:r>
        <w:t>deliver</w:t>
      </w:r>
      <w:r w:rsidRPr="00F96C4C">
        <w:t xml:space="preserve"> the strategy. The FRAA</w:t>
      </w:r>
      <w:r w:rsidR="00EF40B0">
        <w:t>’</w:t>
      </w:r>
      <w:r w:rsidRPr="00F96C4C">
        <w:t xml:space="preserve">s view is </w:t>
      </w:r>
      <w:r>
        <w:t xml:space="preserve">that </w:t>
      </w:r>
      <w:r w:rsidRPr="00F96C4C">
        <w:t xml:space="preserve">ASIC should </w:t>
      </w:r>
      <w:r>
        <w:t xml:space="preserve">continue to </w:t>
      </w:r>
      <w:r w:rsidRPr="00F96C4C">
        <w:t>focus on broadening its mix of skill sets</w:t>
      </w:r>
      <w:r>
        <w:t xml:space="preserve"> to support the implementation of the recommendations in this report. </w:t>
      </w:r>
    </w:p>
    <w:tbl>
      <w:tblPr>
        <w:tblStyle w:val="TableGrid"/>
        <w:tblW w:w="0" w:type="auto"/>
        <w:tblInd w:w="567" w:type="dxa"/>
        <w:shd w:val="clear" w:color="auto" w:fill="D5E1F1" w:themeFill="accent2" w:themeFillTint="33"/>
        <w:tblCellMar>
          <w:top w:w="170" w:type="dxa"/>
          <w:left w:w="170" w:type="dxa"/>
          <w:bottom w:w="170" w:type="dxa"/>
          <w:right w:w="170" w:type="dxa"/>
        </w:tblCellMar>
        <w:tblLook w:val="04A0" w:firstRow="1" w:lastRow="0" w:firstColumn="1" w:lastColumn="0" w:noHBand="0" w:noVBand="1"/>
      </w:tblPr>
      <w:tblGrid>
        <w:gridCol w:w="8459"/>
      </w:tblGrid>
      <w:tr w:rsidR="00322780" w14:paraId="453C22B4" w14:textId="77777777" w:rsidTr="00415955">
        <w:tc>
          <w:tcPr>
            <w:tcW w:w="8459" w:type="dxa"/>
            <w:shd w:val="clear" w:color="auto" w:fill="D5E1F1" w:themeFill="accent2" w:themeFillTint="33"/>
          </w:tcPr>
          <w:p w14:paraId="7D008212" w14:textId="77777777" w:rsidR="00322780" w:rsidRPr="001F7BD2" w:rsidRDefault="00322780" w:rsidP="00415955">
            <w:pPr>
              <w:pStyle w:val="BoxHeading"/>
            </w:pPr>
            <w:r w:rsidRPr="001F7BD2">
              <w:t xml:space="preserve">Recommendation </w:t>
            </w:r>
          </w:p>
          <w:p w14:paraId="178ADC8F" w14:textId="77777777" w:rsidR="00322780" w:rsidRDefault="00322780" w:rsidP="00415955">
            <w:pPr>
              <w:pStyle w:val="BoxText"/>
            </w:pPr>
            <w:r w:rsidRPr="0099333E">
              <w:t>ASIC should continue to broaden its mix of skill</w:t>
            </w:r>
            <w:r>
              <w:t xml:space="preserve"> </w:t>
            </w:r>
            <w:r w:rsidRPr="0099333E">
              <w:t>sets to ensure it can meet the current and future needs of the organisation</w:t>
            </w:r>
            <w:r>
              <w:t>.</w:t>
            </w:r>
          </w:p>
        </w:tc>
      </w:tr>
    </w:tbl>
    <w:p w14:paraId="59D71BCD" w14:textId="77777777" w:rsidR="003A66F5" w:rsidRPr="003A66F5" w:rsidRDefault="003A66F5" w:rsidP="003A66F5"/>
    <w:p w14:paraId="27D96471" w14:textId="6BF68346" w:rsidR="00C24291" w:rsidRDefault="00C24291" w:rsidP="00995F23">
      <w:pPr>
        <w:sectPr w:rsidR="00C24291" w:rsidSect="00526D0C">
          <w:type w:val="oddPage"/>
          <w:pgSz w:w="11906" w:h="16838" w:code="9"/>
          <w:pgMar w:top="1418" w:right="1418" w:bottom="1418" w:left="1418" w:header="709" w:footer="709" w:gutter="0"/>
          <w:cols w:space="708"/>
          <w:docGrid w:linePitch="360"/>
        </w:sectPr>
      </w:pPr>
    </w:p>
    <w:p w14:paraId="0EC055E7" w14:textId="370E80C8" w:rsidR="0081093B" w:rsidRPr="00E474CC" w:rsidRDefault="0081093B" w:rsidP="0081093B">
      <w:pPr>
        <w:pStyle w:val="Heading1"/>
      </w:pPr>
      <w:bookmarkStart w:id="151" w:name="_Toc110241844"/>
      <w:r>
        <w:lastRenderedPageBreak/>
        <w:t>Abbreviations and acronyms</w:t>
      </w:r>
      <w:bookmarkEnd w:id="151"/>
    </w:p>
    <w:tbl>
      <w:tblPr>
        <w:tblStyle w:val="FRAAtable"/>
        <w:tblW w:w="5000" w:type="pct"/>
        <w:tblLook w:val="04A0" w:firstRow="1" w:lastRow="0" w:firstColumn="1" w:lastColumn="0" w:noHBand="0" w:noVBand="1"/>
      </w:tblPr>
      <w:tblGrid>
        <w:gridCol w:w="2349"/>
        <w:gridCol w:w="6677"/>
      </w:tblGrid>
      <w:tr w:rsidR="00154783" w14:paraId="3E232D57" w14:textId="77777777" w:rsidTr="00526D0C">
        <w:trPr>
          <w:cnfStyle w:val="100000000000" w:firstRow="1" w:lastRow="0" w:firstColumn="0" w:lastColumn="0" w:oddVBand="0" w:evenVBand="0" w:oddHBand="0" w:evenHBand="0" w:firstRowFirstColumn="0" w:firstRowLastColumn="0" w:lastRowFirstColumn="0" w:lastRowLastColumn="0"/>
          <w:tblHeader/>
        </w:trPr>
        <w:tc>
          <w:tcPr>
            <w:tcW w:w="2109" w:type="dxa"/>
          </w:tcPr>
          <w:p w14:paraId="4D02E3DC" w14:textId="77777777" w:rsidR="00154783" w:rsidRPr="00935B19" w:rsidRDefault="00154783" w:rsidP="00415955">
            <w:pPr>
              <w:pStyle w:val="TableColumnHeadingLeft"/>
              <w:spacing w:before="240" w:after="80"/>
            </w:pPr>
            <w:r w:rsidRPr="00935B19">
              <w:t>Term</w:t>
            </w:r>
          </w:p>
        </w:tc>
        <w:tc>
          <w:tcPr>
            <w:tcW w:w="5996" w:type="dxa"/>
          </w:tcPr>
          <w:p w14:paraId="02EC4BC3" w14:textId="77777777" w:rsidR="00154783" w:rsidRPr="00935B19" w:rsidRDefault="00154783" w:rsidP="00415955">
            <w:pPr>
              <w:pStyle w:val="TableColumnHeadingLeft"/>
              <w:spacing w:before="240" w:after="80"/>
            </w:pPr>
            <w:r w:rsidRPr="00935B19">
              <w:t xml:space="preserve">Definition </w:t>
            </w:r>
          </w:p>
        </w:tc>
      </w:tr>
      <w:tr w:rsidR="00154783" w14:paraId="62F649F4" w14:textId="77777777" w:rsidTr="00526D0C">
        <w:trPr>
          <w:cnfStyle w:val="000000100000" w:firstRow="0" w:lastRow="0" w:firstColumn="0" w:lastColumn="0" w:oddVBand="0" w:evenVBand="0" w:oddHBand="1" w:evenHBand="0" w:firstRowFirstColumn="0" w:firstRowLastColumn="0" w:lastRowFirstColumn="0" w:lastRowLastColumn="0"/>
        </w:trPr>
        <w:tc>
          <w:tcPr>
            <w:tcW w:w="2109" w:type="dxa"/>
          </w:tcPr>
          <w:p w14:paraId="668F309B" w14:textId="77777777" w:rsidR="00154783" w:rsidRDefault="00154783" w:rsidP="00526D0C">
            <w:pPr>
              <w:pStyle w:val="TableTextLeft"/>
            </w:pPr>
            <w:r>
              <w:t>AAT</w:t>
            </w:r>
          </w:p>
        </w:tc>
        <w:tc>
          <w:tcPr>
            <w:tcW w:w="5996" w:type="dxa"/>
          </w:tcPr>
          <w:p w14:paraId="1E489E86" w14:textId="77777777" w:rsidR="00154783" w:rsidRDefault="00154783" w:rsidP="00526D0C">
            <w:pPr>
              <w:pStyle w:val="TableTextLeft"/>
            </w:pPr>
            <w:r>
              <w:t xml:space="preserve">Administrative Appeals Tribunal </w:t>
            </w:r>
          </w:p>
        </w:tc>
      </w:tr>
      <w:tr w:rsidR="00154783" w14:paraId="15388375" w14:textId="77777777" w:rsidTr="00526D0C">
        <w:tc>
          <w:tcPr>
            <w:tcW w:w="2109" w:type="dxa"/>
          </w:tcPr>
          <w:p w14:paraId="2BFA3341" w14:textId="77777777" w:rsidR="00154783" w:rsidRDefault="00154783" w:rsidP="00526D0C">
            <w:pPr>
              <w:pStyle w:val="TableTextLeft"/>
            </w:pPr>
            <w:r>
              <w:t>ACCC</w:t>
            </w:r>
          </w:p>
        </w:tc>
        <w:tc>
          <w:tcPr>
            <w:tcW w:w="5996" w:type="dxa"/>
          </w:tcPr>
          <w:p w14:paraId="388D0654" w14:textId="77777777" w:rsidR="00154783" w:rsidRDefault="00154783" w:rsidP="00526D0C">
            <w:pPr>
              <w:pStyle w:val="TableTextLeft"/>
            </w:pPr>
            <w:r>
              <w:t xml:space="preserve">Australian Competition and Consumer Commission </w:t>
            </w:r>
          </w:p>
        </w:tc>
      </w:tr>
      <w:tr w:rsidR="00154783" w14:paraId="24FBF296" w14:textId="77777777" w:rsidTr="00526D0C">
        <w:trPr>
          <w:cnfStyle w:val="000000100000" w:firstRow="0" w:lastRow="0" w:firstColumn="0" w:lastColumn="0" w:oddVBand="0" w:evenVBand="0" w:oddHBand="1" w:evenHBand="0" w:firstRowFirstColumn="0" w:firstRowLastColumn="0" w:lastRowFirstColumn="0" w:lastRowLastColumn="0"/>
        </w:trPr>
        <w:tc>
          <w:tcPr>
            <w:tcW w:w="2109" w:type="dxa"/>
          </w:tcPr>
          <w:p w14:paraId="3417E929" w14:textId="77777777" w:rsidR="00154783" w:rsidRDefault="00154783" w:rsidP="00526D0C">
            <w:pPr>
              <w:pStyle w:val="TableTextLeft"/>
            </w:pPr>
            <w:r>
              <w:t>ACL</w:t>
            </w:r>
          </w:p>
        </w:tc>
        <w:tc>
          <w:tcPr>
            <w:tcW w:w="5996" w:type="dxa"/>
          </w:tcPr>
          <w:p w14:paraId="14589294" w14:textId="77777777" w:rsidR="00154783" w:rsidRDefault="00154783" w:rsidP="00526D0C">
            <w:pPr>
              <w:pStyle w:val="TableTextLeft"/>
            </w:pPr>
            <w:r>
              <w:t xml:space="preserve">Australian credit licence </w:t>
            </w:r>
          </w:p>
        </w:tc>
      </w:tr>
      <w:tr w:rsidR="00154783" w14:paraId="6E31F7C1" w14:textId="77777777" w:rsidTr="00526D0C">
        <w:tc>
          <w:tcPr>
            <w:tcW w:w="2109" w:type="dxa"/>
          </w:tcPr>
          <w:p w14:paraId="70962E85" w14:textId="77777777" w:rsidR="00154783" w:rsidRDefault="00154783" w:rsidP="00526D0C">
            <w:pPr>
              <w:pStyle w:val="TableTextLeft"/>
            </w:pPr>
            <w:r>
              <w:t>ACCP</w:t>
            </w:r>
          </w:p>
        </w:tc>
        <w:tc>
          <w:tcPr>
            <w:tcW w:w="5996" w:type="dxa"/>
          </w:tcPr>
          <w:p w14:paraId="4C838FD7" w14:textId="28917CF4" w:rsidR="00154783" w:rsidRDefault="00154783" w:rsidP="00526D0C">
            <w:pPr>
              <w:pStyle w:val="TableTextLeft"/>
            </w:pPr>
            <w:r>
              <w:t xml:space="preserve">ASIC </w:t>
            </w:r>
            <w:r w:rsidR="00084466">
              <w:t>C</w:t>
            </w:r>
            <w:r>
              <w:t xml:space="preserve">onsumer </w:t>
            </w:r>
            <w:r w:rsidR="00084466">
              <w:t>C</w:t>
            </w:r>
            <w:r>
              <w:t xml:space="preserve">onsultative </w:t>
            </w:r>
            <w:r w:rsidR="00084466">
              <w:t>P</w:t>
            </w:r>
            <w:r>
              <w:t xml:space="preserve">anel </w:t>
            </w:r>
          </w:p>
        </w:tc>
      </w:tr>
      <w:tr w:rsidR="00154783" w14:paraId="6B71B76E" w14:textId="77777777" w:rsidTr="00526D0C">
        <w:trPr>
          <w:cnfStyle w:val="000000100000" w:firstRow="0" w:lastRow="0" w:firstColumn="0" w:lastColumn="0" w:oddVBand="0" w:evenVBand="0" w:oddHBand="1" w:evenHBand="0" w:firstRowFirstColumn="0" w:firstRowLastColumn="0" w:lastRowFirstColumn="0" w:lastRowLastColumn="0"/>
        </w:trPr>
        <w:tc>
          <w:tcPr>
            <w:tcW w:w="2109" w:type="dxa"/>
          </w:tcPr>
          <w:p w14:paraId="4C60791B" w14:textId="77777777" w:rsidR="00154783" w:rsidRDefault="00154783" w:rsidP="00526D0C">
            <w:pPr>
              <w:pStyle w:val="TableTextLeft"/>
            </w:pPr>
            <w:r>
              <w:t>AFSL</w:t>
            </w:r>
          </w:p>
        </w:tc>
        <w:tc>
          <w:tcPr>
            <w:tcW w:w="5996" w:type="dxa"/>
          </w:tcPr>
          <w:p w14:paraId="2C12E1EB" w14:textId="77777777" w:rsidR="00154783" w:rsidRDefault="00154783" w:rsidP="00526D0C">
            <w:pPr>
              <w:pStyle w:val="TableTextLeft"/>
            </w:pPr>
            <w:r w:rsidRPr="0CA98B4B">
              <w:t xml:space="preserve">Australia financial services licence </w:t>
            </w:r>
          </w:p>
        </w:tc>
      </w:tr>
      <w:tr w:rsidR="00154783" w14:paraId="6C68F4C1" w14:textId="77777777" w:rsidTr="00526D0C">
        <w:tc>
          <w:tcPr>
            <w:tcW w:w="2109" w:type="dxa"/>
          </w:tcPr>
          <w:p w14:paraId="0496E69C" w14:textId="77777777" w:rsidR="00154783" w:rsidRDefault="00154783" w:rsidP="00526D0C">
            <w:pPr>
              <w:pStyle w:val="TableTextLeft"/>
            </w:pPr>
            <w:r>
              <w:t>AI</w:t>
            </w:r>
          </w:p>
        </w:tc>
        <w:tc>
          <w:tcPr>
            <w:tcW w:w="5996" w:type="dxa"/>
          </w:tcPr>
          <w:p w14:paraId="2C1994A9" w14:textId="77777777" w:rsidR="00154783" w:rsidRPr="0CA98B4B" w:rsidRDefault="00154783" w:rsidP="00526D0C">
            <w:pPr>
              <w:pStyle w:val="TableTextLeft"/>
            </w:pPr>
            <w:r>
              <w:t xml:space="preserve">Artificial intelligence </w:t>
            </w:r>
          </w:p>
        </w:tc>
      </w:tr>
      <w:tr w:rsidR="00154783" w14:paraId="49AF75BC" w14:textId="77777777" w:rsidTr="00526D0C">
        <w:trPr>
          <w:cnfStyle w:val="000000100000" w:firstRow="0" w:lastRow="0" w:firstColumn="0" w:lastColumn="0" w:oddVBand="0" w:evenVBand="0" w:oddHBand="1" w:evenHBand="0" w:firstRowFirstColumn="0" w:firstRowLastColumn="0" w:lastRowFirstColumn="0" w:lastRowLastColumn="0"/>
        </w:trPr>
        <w:tc>
          <w:tcPr>
            <w:tcW w:w="2109" w:type="dxa"/>
          </w:tcPr>
          <w:p w14:paraId="665E58EA" w14:textId="77777777" w:rsidR="00154783" w:rsidRDefault="00154783" w:rsidP="00526D0C">
            <w:pPr>
              <w:pStyle w:val="TableTextLeft"/>
            </w:pPr>
            <w:r>
              <w:t>APRA</w:t>
            </w:r>
          </w:p>
        </w:tc>
        <w:tc>
          <w:tcPr>
            <w:tcW w:w="5996" w:type="dxa"/>
          </w:tcPr>
          <w:p w14:paraId="4C85F25B" w14:textId="77777777" w:rsidR="00154783" w:rsidRDefault="00154783" w:rsidP="00526D0C">
            <w:pPr>
              <w:pStyle w:val="TableTextLeft"/>
            </w:pPr>
            <w:r>
              <w:t>Australian Prudential Regulation Authority</w:t>
            </w:r>
          </w:p>
        </w:tc>
      </w:tr>
      <w:tr w:rsidR="00154783" w14:paraId="6094B801" w14:textId="77777777" w:rsidTr="00526D0C">
        <w:tc>
          <w:tcPr>
            <w:tcW w:w="2109" w:type="dxa"/>
          </w:tcPr>
          <w:p w14:paraId="40620233" w14:textId="77777777" w:rsidR="00154783" w:rsidRDefault="00154783" w:rsidP="00526D0C">
            <w:pPr>
              <w:pStyle w:val="TableTextLeft"/>
            </w:pPr>
            <w:r>
              <w:t>ASIC</w:t>
            </w:r>
          </w:p>
        </w:tc>
        <w:tc>
          <w:tcPr>
            <w:tcW w:w="5996" w:type="dxa"/>
          </w:tcPr>
          <w:p w14:paraId="0AFB2A5C" w14:textId="77777777" w:rsidR="00154783" w:rsidRDefault="00154783" w:rsidP="00526D0C">
            <w:pPr>
              <w:pStyle w:val="TableTextLeft"/>
            </w:pPr>
            <w:r>
              <w:t>Australian Securities and Investments Commission</w:t>
            </w:r>
          </w:p>
        </w:tc>
      </w:tr>
      <w:tr w:rsidR="00154783" w14:paraId="5E5DD370" w14:textId="77777777" w:rsidTr="00526D0C">
        <w:trPr>
          <w:cnfStyle w:val="000000100000" w:firstRow="0" w:lastRow="0" w:firstColumn="0" w:lastColumn="0" w:oddVBand="0" w:evenVBand="0" w:oddHBand="1" w:evenHBand="0" w:firstRowFirstColumn="0" w:firstRowLastColumn="0" w:lastRowFirstColumn="0" w:lastRowLastColumn="0"/>
        </w:trPr>
        <w:tc>
          <w:tcPr>
            <w:tcW w:w="2109" w:type="dxa"/>
          </w:tcPr>
          <w:p w14:paraId="4463DB20" w14:textId="77777777" w:rsidR="00154783" w:rsidRDefault="00154783" w:rsidP="00526D0C">
            <w:pPr>
              <w:pStyle w:val="TableTextLeft"/>
            </w:pPr>
            <w:r>
              <w:t>ASIC Act</w:t>
            </w:r>
          </w:p>
        </w:tc>
        <w:tc>
          <w:tcPr>
            <w:tcW w:w="5996" w:type="dxa"/>
          </w:tcPr>
          <w:p w14:paraId="45DA2F85" w14:textId="77777777" w:rsidR="00154783" w:rsidRPr="009E6C17" w:rsidRDefault="00154783" w:rsidP="00526D0C">
            <w:pPr>
              <w:pStyle w:val="TableTextLeft"/>
              <w:rPr>
                <w:i/>
                <w:iCs/>
              </w:rPr>
            </w:pPr>
            <w:r w:rsidRPr="009E6C17">
              <w:rPr>
                <w:i/>
                <w:iCs/>
              </w:rPr>
              <w:t>Australian Securities and Investments Commission Act 2001</w:t>
            </w:r>
          </w:p>
        </w:tc>
      </w:tr>
      <w:tr w:rsidR="00154783" w14:paraId="2F7D7E7F" w14:textId="77777777" w:rsidTr="00526D0C">
        <w:tc>
          <w:tcPr>
            <w:tcW w:w="2109" w:type="dxa"/>
          </w:tcPr>
          <w:p w14:paraId="50854C86" w14:textId="77777777" w:rsidR="00154783" w:rsidRDefault="00154783" w:rsidP="00526D0C">
            <w:pPr>
              <w:pStyle w:val="TableTextLeft"/>
            </w:pPr>
            <w:r>
              <w:t>ASL</w:t>
            </w:r>
          </w:p>
        </w:tc>
        <w:tc>
          <w:tcPr>
            <w:tcW w:w="5996" w:type="dxa"/>
          </w:tcPr>
          <w:p w14:paraId="24D58C8B" w14:textId="77777777" w:rsidR="00154783" w:rsidRDefault="00154783" w:rsidP="00526D0C">
            <w:pPr>
              <w:pStyle w:val="TableTextLeft"/>
            </w:pPr>
            <w:r>
              <w:t>Average staffing level</w:t>
            </w:r>
          </w:p>
        </w:tc>
      </w:tr>
      <w:tr w:rsidR="002930C8" w14:paraId="05A30FE6" w14:textId="77777777" w:rsidTr="00526D0C">
        <w:trPr>
          <w:cnfStyle w:val="000000100000" w:firstRow="0" w:lastRow="0" w:firstColumn="0" w:lastColumn="0" w:oddVBand="0" w:evenVBand="0" w:oddHBand="1" w:evenHBand="0" w:firstRowFirstColumn="0" w:firstRowLastColumn="0" w:lastRowFirstColumn="0" w:lastRowLastColumn="0"/>
        </w:trPr>
        <w:tc>
          <w:tcPr>
            <w:tcW w:w="2109" w:type="dxa"/>
          </w:tcPr>
          <w:p w14:paraId="0E4964E7" w14:textId="6E5E6756" w:rsidR="002930C8" w:rsidRDefault="002930C8" w:rsidP="00526D0C">
            <w:pPr>
              <w:pStyle w:val="TableTextLeft"/>
            </w:pPr>
            <w:r>
              <w:t>ARITA</w:t>
            </w:r>
          </w:p>
        </w:tc>
        <w:tc>
          <w:tcPr>
            <w:tcW w:w="5996" w:type="dxa"/>
          </w:tcPr>
          <w:p w14:paraId="30B0B1D5" w14:textId="2A33F65B" w:rsidR="002930C8" w:rsidRDefault="002930C8" w:rsidP="00526D0C">
            <w:pPr>
              <w:pStyle w:val="TableTextLeft"/>
            </w:pPr>
            <w:r>
              <w:t>Australian Restructuring</w:t>
            </w:r>
            <w:r w:rsidR="00561DF1">
              <w:t xml:space="preserve"> Insolvency and Turnaround Assoc</w:t>
            </w:r>
            <w:r w:rsidR="008B71C0">
              <w:t>i</w:t>
            </w:r>
            <w:r w:rsidR="00561DF1">
              <w:t xml:space="preserve">ation </w:t>
            </w:r>
          </w:p>
        </w:tc>
      </w:tr>
      <w:tr w:rsidR="00154783" w14:paraId="42A72271" w14:textId="77777777" w:rsidTr="00526D0C">
        <w:tc>
          <w:tcPr>
            <w:tcW w:w="0" w:type="dxa"/>
          </w:tcPr>
          <w:p w14:paraId="56F8CC7A" w14:textId="77777777" w:rsidR="00154783" w:rsidRDefault="00154783" w:rsidP="00526D0C">
            <w:pPr>
              <w:pStyle w:val="TableTextLeft"/>
            </w:pPr>
            <w:r>
              <w:t>ATO</w:t>
            </w:r>
          </w:p>
        </w:tc>
        <w:tc>
          <w:tcPr>
            <w:tcW w:w="0" w:type="dxa"/>
          </w:tcPr>
          <w:p w14:paraId="21C94D4C" w14:textId="77777777" w:rsidR="00154783" w:rsidRDefault="00154783" w:rsidP="00526D0C">
            <w:pPr>
              <w:pStyle w:val="TableTextLeft"/>
            </w:pPr>
            <w:r>
              <w:t>Australian Taxation Office</w:t>
            </w:r>
          </w:p>
        </w:tc>
      </w:tr>
      <w:tr w:rsidR="00154783" w14:paraId="466A730F" w14:textId="77777777" w:rsidTr="00526D0C">
        <w:trPr>
          <w:cnfStyle w:val="000000100000" w:firstRow="0" w:lastRow="0" w:firstColumn="0" w:lastColumn="0" w:oddVBand="0" w:evenVBand="0" w:oddHBand="1" w:evenHBand="0" w:firstRowFirstColumn="0" w:firstRowLastColumn="0" w:lastRowFirstColumn="0" w:lastRowLastColumn="0"/>
        </w:trPr>
        <w:tc>
          <w:tcPr>
            <w:tcW w:w="0" w:type="dxa"/>
          </w:tcPr>
          <w:p w14:paraId="0DB6B486" w14:textId="77777777" w:rsidR="00154783" w:rsidRDefault="00154783" w:rsidP="00526D0C">
            <w:pPr>
              <w:pStyle w:val="TableTextLeft"/>
            </w:pPr>
            <w:r>
              <w:t>Corporations Act</w:t>
            </w:r>
          </w:p>
        </w:tc>
        <w:tc>
          <w:tcPr>
            <w:tcW w:w="0" w:type="dxa"/>
          </w:tcPr>
          <w:p w14:paraId="3538282F" w14:textId="77777777" w:rsidR="00154783" w:rsidRPr="002F5638" w:rsidRDefault="00154783" w:rsidP="00526D0C">
            <w:pPr>
              <w:pStyle w:val="TableTextLeft"/>
              <w:rPr>
                <w:i/>
                <w:iCs/>
              </w:rPr>
            </w:pPr>
            <w:r w:rsidRPr="002F5638">
              <w:rPr>
                <w:i/>
                <w:iCs/>
              </w:rPr>
              <w:t>Corporations Act 2001</w:t>
            </w:r>
          </w:p>
        </w:tc>
      </w:tr>
      <w:tr w:rsidR="00154783" w14:paraId="0239A7F8" w14:textId="77777777" w:rsidTr="00526D0C">
        <w:tc>
          <w:tcPr>
            <w:tcW w:w="0" w:type="dxa"/>
          </w:tcPr>
          <w:p w14:paraId="10D13BDE" w14:textId="77777777" w:rsidR="00154783" w:rsidRDefault="00154783" w:rsidP="00526D0C">
            <w:pPr>
              <w:pStyle w:val="TableTextLeft"/>
            </w:pPr>
            <w:r>
              <w:t>CRM</w:t>
            </w:r>
          </w:p>
        </w:tc>
        <w:tc>
          <w:tcPr>
            <w:tcW w:w="0" w:type="dxa"/>
          </w:tcPr>
          <w:p w14:paraId="45F279DB" w14:textId="77777777" w:rsidR="00154783" w:rsidRDefault="00154783" w:rsidP="00526D0C">
            <w:pPr>
              <w:pStyle w:val="TableTextLeft"/>
            </w:pPr>
            <w:r>
              <w:t>Customer relationship management system</w:t>
            </w:r>
          </w:p>
        </w:tc>
      </w:tr>
      <w:tr w:rsidR="00154783" w14:paraId="2FCAC927" w14:textId="77777777" w:rsidTr="00526D0C">
        <w:trPr>
          <w:cnfStyle w:val="000000100000" w:firstRow="0" w:lastRow="0" w:firstColumn="0" w:lastColumn="0" w:oddVBand="0" w:evenVBand="0" w:oddHBand="1" w:evenHBand="0" w:firstRowFirstColumn="0" w:firstRowLastColumn="0" w:lastRowFirstColumn="0" w:lastRowLastColumn="0"/>
        </w:trPr>
        <w:tc>
          <w:tcPr>
            <w:tcW w:w="0" w:type="dxa"/>
          </w:tcPr>
          <w:p w14:paraId="78ED8DA9" w14:textId="77777777" w:rsidR="00154783" w:rsidRDefault="00154783" w:rsidP="00526D0C">
            <w:pPr>
              <w:pStyle w:val="TableTextLeft"/>
            </w:pPr>
            <w:r>
              <w:t>ED</w:t>
            </w:r>
          </w:p>
        </w:tc>
        <w:tc>
          <w:tcPr>
            <w:tcW w:w="0" w:type="dxa"/>
          </w:tcPr>
          <w:p w14:paraId="4C6091EB" w14:textId="77777777" w:rsidR="00154783" w:rsidRDefault="00154783" w:rsidP="00526D0C">
            <w:pPr>
              <w:pStyle w:val="TableTextLeft"/>
            </w:pPr>
            <w:r>
              <w:t xml:space="preserve">Executive Director </w:t>
            </w:r>
          </w:p>
        </w:tc>
      </w:tr>
      <w:tr w:rsidR="00154783" w14:paraId="59C4E042" w14:textId="77777777" w:rsidTr="00526D0C">
        <w:tc>
          <w:tcPr>
            <w:tcW w:w="0" w:type="dxa"/>
          </w:tcPr>
          <w:p w14:paraId="11939C69" w14:textId="77777777" w:rsidR="00154783" w:rsidRDefault="00154783" w:rsidP="00526D0C">
            <w:pPr>
              <w:pStyle w:val="TableTextLeft"/>
            </w:pPr>
            <w:r>
              <w:t>FCA</w:t>
            </w:r>
          </w:p>
        </w:tc>
        <w:tc>
          <w:tcPr>
            <w:tcW w:w="0" w:type="dxa"/>
          </w:tcPr>
          <w:p w14:paraId="66E4274F" w14:textId="77777777" w:rsidR="00154783" w:rsidRDefault="00154783" w:rsidP="00526D0C">
            <w:pPr>
              <w:pStyle w:val="TableTextLeft"/>
            </w:pPr>
            <w:r>
              <w:t xml:space="preserve">Financial Conduct Authority, United Kingdom </w:t>
            </w:r>
          </w:p>
        </w:tc>
      </w:tr>
      <w:tr w:rsidR="007B7759" w14:paraId="3F1BEF14" w14:textId="77777777" w:rsidTr="00526D0C">
        <w:trPr>
          <w:cnfStyle w:val="000000100000" w:firstRow="0" w:lastRow="0" w:firstColumn="0" w:lastColumn="0" w:oddVBand="0" w:evenVBand="0" w:oddHBand="1" w:evenHBand="0" w:firstRowFirstColumn="0" w:firstRowLastColumn="0" w:lastRowFirstColumn="0" w:lastRowLastColumn="0"/>
        </w:trPr>
        <w:tc>
          <w:tcPr>
            <w:tcW w:w="0" w:type="dxa"/>
          </w:tcPr>
          <w:p w14:paraId="0B61BBD7" w14:textId="18350B79" w:rsidR="007B7759" w:rsidRDefault="00C7574D" w:rsidP="00526D0C">
            <w:pPr>
              <w:pStyle w:val="TableTextLeft"/>
            </w:pPr>
            <w:r>
              <w:t>f</w:t>
            </w:r>
            <w:r w:rsidR="007B7759">
              <w:t>intech</w:t>
            </w:r>
          </w:p>
        </w:tc>
        <w:tc>
          <w:tcPr>
            <w:tcW w:w="0" w:type="dxa"/>
          </w:tcPr>
          <w:p w14:paraId="3F6FCD18" w14:textId="1A557AB3" w:rsidR="007B7759" w:rsidRPr="006A51C0" w:rsidRDefault="006B35B6" w:rsidP="00526D0C">
            <w:pPr>
              <w:pStyle w:val="TableTextLeft"/>
            </w:pPr>
            <w:r>
              <w:t xml:space="preserve">Financial </w:t>
            </w:r>
            <w:r w:rsidR="000D3C3B">
              <w:t xml:space="preserve">technology </w:t>
            </w:r>
          </w:p>
        </w:tc>
      </w:tr>
      <w:tr w:rsidR="00E24F2A" w14:paraId="255EFE0F" w14:textId="77777777" w:rsidTr="00526D0C">
        <w:tc>
          <w:tcPr>
            <w:tcW w:w="2109" w:type="dxa"/>
          </w:tcPr>
          <w:p w14:paraId="09B77B9A" w14:textId="559ED9B2" w:rsidR="00E24F2A" w:rsidRDefault="00E24F2A" w:rsidP="00526D0C">
            <w:pPr>
              <w:pStyle w:val="TableTextLeft"/>
            </w:pPr>
            <w:r>
              <w:t>FMA</w:t>
            </w:r>
          </w:p>
        </w:tc>
        <w:tc>
          <w:tcPr>
            <w:tcW w:w="5996" w:type="dxa"/>
          </w:tcPr>
          <w:p w14:paraId="5F0D8974" w14:textId="7891F4E0" w:rsidR="00E24F2A" w:rsidRDefault="00E24F2A" w:rsidP="00526D0C">
            <w:pPr>
              <w:pStyle w:val="TableTextLeft"/>
            </w:pPr>
            <w:r>
              <w:t xml:space="preserve">Financial Markets Authority, New Zealand </w:t>
            </w:r>
          </w:p>
        </w:tc>
      </w:tr>
      <w:tr w:rsidR="00154783" w14:paraId="091CC903" w14:textId="77777777" w:rsidTr="00526D0C">
        <w:trPr>
          <w:cnfStyle w:val="000000100000" w:firstRow="0" w:lastRow="0" w:firstColumn="0" w:lastColumn="0" w:oddVBand="0" w:evenVBand="0" w:oddHBand="1" w:evenHBand="0" w:firstRowFirstColumn="0" w:firstRowLastColumn="0" w:lastRowFirstColumn="0" w:lastRowLastColumn="0"/>
        </w:trPr>
        <w:tc>
          <w:tcPr>
            <w:tcW w:w="0" w:type="dxa"/>
          </w:tcPr>
          <w:p w14:paraId="4EB153E2" w14:textId="77777777" w:rsidR="00154783" w:rsidRDefault="00154783" w:rsidP="00526D0C">
            <w:pPr>
              <w:pStyle w:val="TableTextLeft"/>
            </w:pPr>
            <w:r>
              <w:t>FRAA</w:t>
            </w:r>
          </w:p>
        </w:tc>
        <w:tc>
          <w:tcPr>
            <w:tcW w:w="0" w:type="dxa"/>
          </w:tcPr>
          <w:p w14:paraId="03EBD37B" w14:textId="77777777" w:rsidR="00154783" w:rsidRDefault="00154783" w:rsidP="00526D0C">
            <w:pPr>
              <w:pStyle w:val="TableTextLeft"/>
            </w:pPr>
            <w:r>
              <w:t xml:space="preserve">Financial Regulator Assessment Authority </w:t>
            </w:r>
          </w:p>
        </w:tc>
      </w:tr>
      <w:tr w:rsidR="00E336C2" w14:paraId="3D3E7A5C" w14:textId="77777777" w:rsidTr="00526D0C">
        <w:tc>
          <w:tcPr>
            <w:tcW w:w="2109" w:type="dxa"/>
          </w:tcPr>
          <w:p w14:paraId="09ED24D1" w14:textId="217A027B" w:rsidR="00E336C2" w:rsidRDefault="00E336C2" w:rsidP="00526D0C">
            <w:pPr>
              <w:pStyle w:val="TableTextLeft"/>
            </w:pPr>
            <w:r>
              <w:t>FRAA Act</w:t>
            </w:r>
          </w:p>
        </w:tc>
        <w:tc>
          <w:tcPr>
            <w:tcW w:w="5996" w:type="dxa"/>
          </w:tcPr>
          <w:p w14:paraId="69AA16ED" w14:textId="65140913" w:rsidR="00E336C2" w:rsidRPr="00DA72C9" w:rsidRDefault="00DA72C9" w:rsidP="00526D0C">
            <w:pPr>
              <w:pStyle w:val="TableTextLeft"/>
              <w:rPr>
                <w:i/>
                <w:iCs/>
              </w:rPr>
            </w:pPr>
            <w:r>
              <w:rPr>
                <w:i/>
                <w:iCs/>
              </w:rPr>
              <w:t>Financial Regulator Assessment Authority Act 2021</w:t>
            </w:r>
          </w:p>
        </w:tc>
      </w:tr>
      <w:tr w:rsidR="00154783" w14:paraId="2B377CF1" w14:textId="77777777" w:rsidTr="00526D0C">
        <w:trPr>
          <w:cnfStyle w:val="000000100000" w:firstRow="0" w:lastRow="0" w:firstColumn="0" w:lastColumn="0" w:oddVBand="0" w:evenVBand="0" w:oddHBand="1" w:evenHBand="0" w:firstRowFirstColumn="0" w:firstRowLastColumn="0" w:lastRowFirstColumn="0" w:lastRowLastColumn="0"/>
        </w:trPr>
        <w:tc>
          <w:tcPr>
            <w:tcW w:w="0" w:type="dxa"/>
          </w:tcPr>
          <w:p w14:paraId="2A22596F" w14:textId="77777777" w:rsidR="00154783" w:rsidRDefault="00154783" w:rsidP="00526D0C">
            <w:pPr>
              <w:pStyle w:val="TableTextLeft"/>
            </w:pPr>
            <w:r>
              <w:t>FSAP</w:t>
            </w:r>
          </w:p>
        </w:tc>
        <w:tc>
          <w:tcPr>
            <w:tcW w:w="0" w:type="dxa"/>
          </w:tcPr>
          <w:p w14:paraId="02CDC627" w14:textId="239AA0BE" w:rsidR="00154783" w:rsidRDefault="00154783" w:rsidP="00526D0C">
            <w:pPr>
              <w:pStyle w:val="TableTextLeft"/>
            </w:pPr>
            <w:r>
              <w:t xml:space="preserve">Financial </w:t>
            </w:r>
            <w:r w:rsidR="00A04A6F">
              <w:t>S</w:t>
            </w:r>
            <w:r>
              <w:t xml:space="preserve">ector </w:t>
            </w:r>
            <w:r w:rsidR="00A04A6F">
              <w:t>A</w:t>
            </w:r>
            <w:r>
              <w:t xml:space="preserve">ssessment </w:t>
            </w:r>
            <w:r w:rsidR="00A04A6F">
              <w:t>P</w:t>
            </w:r>
            <w:r>
              <w:t>rogram</w:t>
            </w:r>
          </w:p>
        </w:tc>
      </w:tr>
      <w:tr w:rsidR="00154783" w14:paraId="18DAC50B" w14:textId="77777777" w:rsidTr="00526D0C">
        <w:tc>
          <w:tcPr>
            <w:tcW w:w="0" w:type="dxa"/>
          </w:tcPr>
          <w:p w14:paraId="0AC0FAEE" w14:textId="77777777" w:rsidR="00154783" w:rsidRDefault="00154783" w:rsidP="00526D0C">
            <w:pPr>
              <w:pStyle w:val="TableTextLeft"/>
            </w:pPr>
            <w:r>
              <w:t>FSI</w:t>
            </w:r>
          </w:p>
        </w:tc>
        <w:tc>
          <w:tcPr>
            <w:tcW w:w="0" w:type="dxa"/>
          </w:tcPr>
          <w:p w14:paraId="28672A9E" w14:textId="307A5116" w:rsidR="00154783" w:rsidRDefault="00154783" w:rsidP="00526D0C">
            <w:pPr>
              <w:pStyle w:val="TableTextLeft"/>
            </w:pPr>
            <w:r>
              <w:t xml:space="preserve">Financial </w:t>
            </w:r>
            <w:r w:rsidR="008E76F4">
              <w:t>S</w:t>
            </w:r>
            <w:r>
              <w:t xml:space="preserve">oundness </w:t>
            </w:r>
            <w:r w:rsidR="008E76F4">
              <w:t>I</w:t>
            </w:r>
            <w:r>
              <w:t>ndicators</w:t>
            </w:r>
          </w:p>
        </w:tc>
      </w:tr>
      <w:tr w:rsidR="00154783" w14:paraId="40404670" w14:textId="77777777" w:rsidTr="00526D0C">
        <w:trPr>
          <w:cnfStyle w:val="000000100000" w:firstRow="0" w:lastRow="0" w:firstColumn="0" w:lastColumn="0" w:oddVBand="0" w:evenVBand="0" w:oddHBand="1" w:evenHBand="0" w:firstRowFirstColumn="0" w:firstRowLastColumn="0" w:lastRowFirstColumn="0" w:lastRowLastColumn="0"/>
        </w:trPr>
        <w:tc>
          <w:tcPr>
            <w:tcW w:w="0" w:type="dxa"/>
          </w:tcPr>
          <w:p w14:paraId="1BC60214" w14:textId="77777777" w:rsidR="00154783" w:rsidRDefault="00154783" w:rsidP="00526D0C">
            <w:pPr>
              <w:pStyle w:val="TableTextLeft"/>
            </w:pPr>
            <w:r>
              <w:lastRenderedPageBreak/>
              <w:t>FTE</w:t>
            </w:r>
          </w:p>
        </w:tc>
        <w:tc>
          <w:tcPr>
            <w:tcW w:w="0" w:type="dxa"/>
          </w:tcPr>
          <w:p w14:paraId="164A6CE5" w14:textId="1898E637" w:rsidR="00154783" w:rsidRDefault="00154783" w:rsidP="00526D0C">
            <w:pPr>
              <w:pStyle w:val="TableTextLeft"/>
            </w:pPr>
            <w:r>
              <w:t>Full</w:t>
            </w:r>
            <w:r w:rsidR="00EF40B0">
              <w:noBreakHyphen/>
            </w:r>
            <w:r>
              <w:t xml:space="preserve">time equivalent </w:t>
            </w:r>
          </w:p>
        </w:tc>
      </w:tr>
      <w:tr w:rsidR="00154783" w14:paraId="18D936B5" w14:textId="77777777" w:rsidTr="00526D0C">
        <w:tc>
          <w:tcPr>
            <w:tcW w:w="0" w:type="dxa"/>
          </w:tcPr>
          <w:p w14:paraId="7CDB07D5" w14:textId="77777777" w:rsidR="00154783" w:rsidRDefault="00154783" w:rsidP="00526D0C">
            <w:pPr>
              <w:pStyle w:val="TableTextLeft"/>
            </w:pPr>
            <w:r>
              <w:t>G20</w:t>
            </w:r>
          </w:p>
        </w:tc>
        <w:tc>
          <w:tcPr>
            <w:tcW w:w="0" w:type="dxa"/>
          </w:tcPr>
          <w:p w14:paraId="79C86BB7" w14:textId="77777777" w:rsidR="00154783" w:rsidRDefault="00154783" w:rsidP="00526D0C">
            <w:pPr>
              <w:pStyle w:val="TableTextLeft"/>
            </w:pPr>
            <w:r>
              <w:t>Group of 20</w:t>
            </w:r>
          </w:p>
        </w:tc>
      </w:tr>
      <w:tr w:rsidR="00154783" w14:paraId="7D981F21" w14:textId="77777777" w:rsidTr="00526D0C">
        <w:trPr>
          <w:cnfStyle w:val="000000100000" w:firstRow="0" w:lastRow="0" w:firstColumn="0" w:lastColumn="0" w:oddVBand="0" w:evenVBand="0" w:oddHBand="1" w:evenHBand="0" w:firstRowFirstColumn="0" w:firstRowLastColumn="0" w:lastRowFirstColumn="0" w:lastRowLastColumn="0"/>
        </w:trPr>
        <w:tc>
          <w:tcPr>
            <w:tcW w:w="0" w:type="dxa"/>
          </w:tcPr>
          <w:p w14:paraId="60146E88" w14:textId="3066FA71" w:rsidR="00154783" w:rsidRDefault="0057353E" w:rsidP="00526D0C">
            <w:pPr>
              <w:pStyle w:val="TableTextLeft"/>
            </w:pPr>
            <w:r>
              <w:t>GFC</w:t>
            </w:r>
          </w:p>
        </w:tc>
        <w:tc>
          <w:tcPr>
            <w:tcW w:w="0" w:type="dxa"/>
          </w:tcPr>
          <w:p w14:paraId="0AE13AC4" w14:textId="57AB76DF" w:rsidR="00154783" w:rsidRDefault="0057353E" w:rsidP="00526D0C">
            <w:pPr>
              <w:pStyle w:val="TableTextLeft"/>
            </w:pPr>
            <w:r>
              <w:t>Global Financial Crisis</w:t>
            </w:r>
          </w:p>
        </w:tc>
      </w:tr>
      <w:tr w:rsidR="00154783" w14:paraId="2FE271CF" w14:textId="77777777" w:rsidTr="00526D0C">
        <w:tc>
          <w:tcPr>
            <w:tcW w:w="0" w:type="dxa"/>
          </w:tcPr>
          <w:p w14:paraId="328E0173" w14:textId="77777777" w:rsidR="00154783" w:rsidRDefault="00154783" w:rsidP="00526D0C">
            <w:pPr>
              <w:pStyle w:val="TableTextLeft"/>
            </w:pPr>
            <w:r w:rsidRPr="2E14B2E4">
              <w:t>IFM</w:t>
            </w:r>
          </w:p>
        </w:tc>
        <w:tc>
          <w:tcPr>
            <w:tcW w:w="0" w:type="dxa"/>
          </w:tcPr>
          <w:p w14:paraId="0CDA5B04" w14:textId="77777777" w:rsidR="00154783" w:rsidRDefault="00154783" w:rsidP="00526D0C">
            <w:pPr>
              <w:pStyle w:val="TableTextLeft"/>
            </w:pPr>
            <w:r>
              <w:t>Industry funding model</w:t>
            </w:r>
          </w:p>
        </w:tc>
      </w:tr>
      <w:tr w:rsidR="00C300DB" w14:paraId="5916F2FB" w14:textId="77777777" w:rsidTr="00526D0C">
        <w:trPr>
          <w:cnfStyle w:val="000000100000" w:firstRow="0" w:lastRow="0" w:firstColumn="0" w:lastColumn="0" w:oddVBand="0" w:evenVBand="0" w:oddHBand="1" w:evenHBand="0" w:firstRowFirstColumn="0" w:firstRowLastColumn="0" w:lastRowFirstColumn="0" w:lastRowLastColumn="0"/>
        </w:trPr>
        <w:tc>
          <w:tcPr>
            <w:tcW w:w="2109" w:type="dxa"/>
          </w:tcPr>
          <w:p w14:paraId="4F87522C" w14:textId="46D44450" w:rsidR="00C300DB" w:rsidRPr="2E14B2E4" w:rsidRDefault="00C300DB" w:rsidP="00526D0C">
            <w:pPr>
              <w:pStyle w:val="TableTextLeft"/>
            </w:pPr>
            <w:r>
              <w:t xml:space="preserve">IMF </w:t>
            </w:r>
          </w:p>
        </w:tc>
        <w:tc>
          <w:tcPr>
            <w:tcW w:w="5996" w:type="dxa"/>
          </w:tcPr>
          <w:p w14:paraId="15683070" w14:textId="584D7C4A" w:rsidR="00C300DB" w:rsidRDefault="00C300DB" w:rsidP="00526D0C">
            <w:pPr>
              <w:pStyle w:val="TableTextLeft"/>
            </w:pPr>
            <w:r>
              <w:t xml:space="preserve">International Monetary Fund </w:t>
            </w:r>
          </w:p>
        </w:tc>
      </w:tr>
      <w:tr w:rsidR="008E76F4" w14:paraId="273E9FA7" w14:textId="77777777" w:rsidTr="00526D0C">
        <w:tc>
          <w:tcPr>
            <w:tcW w:w="2109" w:type="dxa"/>
          </w:tcPr>
          <w:p w14:paraId="44452667" w14:textId="75FC920A" w:rsidR="008E76F4" w:rsidRPr="2E14B2E4" w:rsidRDefault="008E76F4" w:rsidP="00526D0C">
            <w:pPr>
              <w:pStyle w:val="TableTextLeft"/>
            </w:pPr>
            <w:r>
              <w:t>IOSCO</w:t>
            </w:r>
          </w:p>
        </w:tc>
        <w:tc>
          <w:tcPr>
            <w:tcW w:w="5996" w:type="dxa"/>
          </w:tcPr>
          <w:p w14:paraId="2BDF0E91" w14:textId="7A014306" w:rsidR="008E76F4" w:rsidRDefault="008E76F4" w:rsidP="00526D0C">
            <w:pPr>
              <w:pStyle w:val="TableTextLeft"/>
            </w:pPr>
            <w:r w:rsidRPr="008E76F4">
              <w:t>International Organization of Securities Commissions</w:t>
            </w:r>
          </w:p>
        </w:tc>
      </w:tr>
      <w:tr w:rsidR="00154783" w14:paraId="11F08F98" w14:textId="77777777" w:rsidTr="00526D0C">
        <w:trPr>
          <w:cnfStyle w:val="000000100000" w:firstRow="0" w:lastRow="0" w:firstColumn="0" w:lastColumn="0" w:oddVBand="0" w:evenVBand="0" w:oddHBand="1" w:evenHBand="0" w:firstRowFirstColumn="0" w:firstRowLastColumn="0" w:lastRowFirstColumn="0" w:lastRowLastColumn="0"/>
        </w:trPr>
        <w:tc>
          <w:tcPr>
            <w:tcW w:w="0" w:type="dxa"/>
          </w:tcPr>
          <w:p w14:paraId="1F53C5C0" w14:textId="77777777" w:rsidR="00154783" w:rsidRDefault="00154783" w:rsidP="00526D0C">
            <w:pPr>
              <w:pStyle w:val="TableTextLeft"/>
            </w:pPr>
            <w:r>
              <w:t xml:space="preserve">IT </w:t>
            </w:r>
          </w:p>
        </w:tc>
        <w:tc>
          <w:tcPr>
            <w:tcW w:w="0" w:type="dxa"/>
          </w:tcPr>
          <w:p w14:paraId="6BD62905" w14:textId="77777777" w:rsidR="00154783" w:rsidRDefault="00154783" w:rsidP="00526D0C">
            <w:pPr>
              <w:pStyle w:val="TableTextLeft"/>
            </w:pPr>
            <w:r>
              <w:t xml:space="preserve">Information technology </w:t>
            </w:r>
          </w:p>
        </w:tc>
      </w:tr>
      <w:tr w:rsidR="00154783" w14:paraId="2EF02C99" w14:textId="77777777" w:rsidTr="00526D0C">
        <w:tc>
          <w:tcPr>
            <w:tcW w:w="0" w:type="dxa"/>
          </w:tcPr>
          <w:p w14:paraId="54C1678D" w14:textId="77777777" w:rsidR="00154783" w:rsidRDefault="00154783" w:rsidP="00526D0C">
            <w:pPr>
              <w:pStyle w:val="TableTextLeft"/>
            </w:pPr>
            <w:r>
              <w:t>MAI</w:t>
            </w:r>
          </w:p>
        </w:tc>
        <w:tc>
          <w:tcPr>
            <w:tcW w:w="0" w:type="dxa"/>
          </w:tcPr>
          <w:p w14:paraId="1AAE61F1" w14:textId="67289422" w:rsidR="00154783" w:rsidRDefault="00154783" w:rsidP="00526D0C">
            <w:pPr>
              <w:pStyle w:val="TableTextLeft"/>
            </w:pPr>
            <w:r>
              <w:t xml:space="preserve">Market </w:t>
            </w:r>
            <w:r w:rsidR="000851F1">
              <w:t>A</w:t>
            </w:r>
            <w:r>
              <w:t xml:space="preserve">ssessment </w:t>
            </w:r>
            <w:r w:rsidR="000851F1">
              <w:t>I</w:t>
            </w:r>
            <w:r>
              <w:t xml:space="preserve">ntelligence </w:t>
            </w:r>
          </w:p>
        </w:tc>
      </w:tr>
      <w:tr w:rsidR="00154783" w14:paraId="7137CC76" w14:textId="77777777" w:rsidTr="00526D0C">
        <w:trPr>
          <w:cnfStyle w:val="000000100000" w:firstRow="0" w:lastRow="0" w:firstColumn="0" w:lastColumn="0" w:oddVBand="0" w:evenVBand="0" w:oddHBand="1" w:evenHBand="0" w:firstRowFirstColumn="0" w:firstRowLastColumn="0" w:lastRowFirstColumn="0" w:lastRowLastColumn="0"/>
        </w:trPr>
        <w:tc>
          <w:tcPr>
            <w:tcW w:w="0" w:type="dxa"/>
          </w:tcPr>
          <w:p w14:paraId="4EEBBF73" w14:textId="77777777" w:rsidR="00154783" w:rsidRDefault="00154783" w:rsidP="00526D0C">
            <w:pPr>
              <w:pStyle w:val="TableTextLeft"/>
            </w:pPr>
            <w:r>
              <w:t>MAS</w:t>
            </w:r>
          </w:p>
        </w:tc>
        <w:tc>
          <w:tcPr>
            <w:tcW w:w="0" w:type="dxa"/>
          </w:tcPr>
          <w:p w14:paraId="451C7EC3" w14:textId="73F741FD" w:rsidR="00154783" w:rsidRDefault="00154783" w:rsidP="00526D0C">
            <w:pPr>
              <w:pStyle w:val="TableTextLeft"/>
            </w:pPr>
            <w:r>
              <w:t xml:space="preserve">Monetary Authority of Singapore </w:t>
            </w:r>
          </w:p>
        </w:tc>
      </w:tr>
      <w:tr w:rsidR="00154783" w14:paraId="536235D1" w14:textId="77777777" w:rsidTr="00526D0C">
        <w:tc>
          <w:tcPr>
            <w:tcW w:w="0" w:type="dxa"/>
          </w:tcPr>
          <w:p w14:paraId="04ABD1F8" w14:textId="77777777" w:rsidR="00154783" w:rsidRDefault="00154783" w:rsidP="00526D0C">
            <w:pPr>
              <w:pStyle w:val="TableTextLeft"/>
            </w:pPr>
            <w:r>
              <w:t>MBR</w:t>
            </w:r>
          </w:p>
        </w:tc>
        <w:tc>
          <w:tcPr>
            <w:tcW w:w="0" w:type="dxa"/>
          </w:tcPr>
          <w:p w14:paraId="4EA2B763" w14:textId="01E65F56" w:rsidR="00154783" w:rsidRDefault="00154783" w:rsidP="00526D0C">
            <w:pPr>
              <w:pStyle w:val="TableTextLeft"/>
            </w:pPr>
            <w:r>
              <w:t xml:space="preserve">Modernising </w:t>
            </w:r>
            <w:r w:rsidR="006C278E">
              <w:t>B</w:t>
            </w:r>
            <w:r>
              <w:t xml:space="preserve">usiness </w:t>
            </w:r>
            <w:r w:rsidR="006C278E">
              <w:t>R</w:t>
            </w:r>
            <w:r>
              <w:t>egisters</w:t>
            </w:r>
          </w:p>
        </w:tc>
      </w:tr>
      <w:tr w:rsidR="00154783" w14:paraId="2526ACD0" w14:textId="77777777" w:rsidTr="00526D0C">
        <w:trPr>
          <w:cnfStyle w:val="000000100000" w:firstRow="0" w:lastRow="0" w:firstColumn="0" w:lastColumn="0" w:oddVBand="0" w:evenVBand="0" w:oddHBand="1" w:evenHBand="0" w:firstRowFirstColumn="0" w:firstRowLastColumn="0" w:lastRowFirstColumn="0" w:lastRowLastColumn="0"/>
        </w:trPr>
        <w:tc>
          <w:tcPr>
            <w:tcW w:w="0" w:type="dxa"/>
          </w:tcPr>
          <w:p w14:paraId="11CDCE1F" w14:textId="77777777" w:rsidR="00154783" w:rsidRDefault="00154783" w:rsidP="00526D0C">
            <w:pPr>
              <w:pStyle w:val="TableTextLeft"/>
            </w:pPr>
            <w:r>
              <w:t>NCCP Act</w:t>
            </w:r>
          </w:p>
        </w:tc>
        <w:tc>
          <w:tcPr>
            <w:tcW w:w="0" w:type="dxa"/>
          </w:tcPr>
          <w:p w14:paraId="1F69491D" w14:textId="77777777" w:rsidR="00154783" w:rsidRPr="003A6B25" w:rsidRDefault="00154783" w:rsidP="00526D0C">
            <w:pPr>
              <w:pStyle w:val="TableTextLeft"/>
              <w:rPr>
                <w:i/>
                <w:iCs/>
              </w:rPr>
            </w:pPr>
            <w:r w:rsidRPr="003A6B25">
              <w:rPr>
                <w:i/>
                <w:iCs/>
              </w:rPr>
              <w:t>National Consumer Credit Protection Act 2009</w:t>
            </w:r>
          </w:p>
        </w:tc>
      </w:tr>
      <w:tr w:rsidR="00154783" w14:paraId="3C0B1AEB" w14:textId="77777777" w:rsidTr="00526D0C">
        <w:tc>
          <w:tcPr>
            <w:tcW w:w="0" w:type="dxa"/>
          </w:tcPr>
          <w:p w14:paraId="7E21050A" w14:textId="77777777" w:rsidR="00154783" w:rsidRDefault="00154783" w:rsidP="00526D0C">
            <w:pPr>
              <w:pStyle w:val="TableTextLeft"/>
            </w:pPr>
            <w:r>
              <w:t>OECD</w:t>
            </w:r>
          </w:p>
        </w:tc>
        <w:tc>
          <w:tcPr>
            <w:tcW w:w="0" w:type="dxa"/>
          </w:tcPr>
          <w:p w14:paraId="53CB5F12" w14:textId="5D0672E2" w:rsidR="00154783" w:rsidRDefault="00154783" w:rsidP="00526D0C">
            <w:pPr>
              <w:pStyle w:val="TableTextLeft"/>
            </w:pPr>
            <w:r>
              <w:t>Organisation for Economic Co</w:t>
            </w:r>
            <w:r w:rsidR="00EF40B0">
              <w:noBreakHyphen/>
            </w:r>
            <w:r>
              <w:t>operation and Development</w:t>
            </w:r>
          </w:p>
        </w:tc>
      </w:tr>
      <w:tr w:rsidR="00154783" w14:paraId="5B438FB8" w14:textId="77777777" w:rsidTr="00526D0C">
        <w:trPr>
          <w:cnfStyle w:val="000000100000" w:firstRow="0" w:lastRow="0" w:firstColumn="0" w:lastColumn="0" w:oddVBand="0" w:evenVBand="0" w:oddHBand="1" w:evenHBand="0" w:firstRowFirstColumn="0" w:firstRowLastColumn="0" w:lastRowFirstColumn="0" w:lastRowLastColumn="0"/>
        </w:trPr>
        <w:tc>
          <w:tcPr>
            <w:tcW w:w="0" w:type="dxa"/>
          </w:tcPr>
          <w:p w14:paraId="111479FF" w14:textId="77777777" w:rsidR="00154783" w:rsidRDefault="00154783" w:rsidP="00526D0C">
            <w:pPr>
              <w:pStyle w:val="TableTextLeft"/>
            </w:pPr>
            <w:r>
              <w:t>OSC</w:t>
            </w:r>
          </w:p>
        </w:tc>
        <w:tc>
          <w:tcPr>
            <w:tcW w:w="0" w:type="dxa"/>
          </w:tcPr>
          <w:p w14:paraId="5998F032" w14:textId="77777777" w:rsidR="00154783" w:rsidRDefault="00154783" w:rsidP="00526D0C">
            <w:pPr>
              <w:pStyle w:val="TableTextLeft"/>
            </w:pPr>
            <w:r>
              <w:t>Ontario Securities Commission, Canada</w:t>
            </w:r>
          </w:p>
        </w:tc>
      </w:tr>
      <w:tr w:rsidR="00154783" w14:paraId="5946F081" w14:textId="77777777" w:rsidTr="00526D0C">
        <w:tc>
          <w:tcPr>
            <w:tcW w:w="0" w:type="dxa"/>
          </w:tcPr>
          <w:p w14:paraId="49ED72B7" w14:textId="77777777" w:rsidR="00154783" w:rsidRDefault="00154783" w:rsidP="00526D0C">
            <w:pPr>
              <w:pStyle w:val="TableTextLeft"/>
            </w:pPr>
            <w:r>
              <w:t>PGPA Act</w:t>
            </w:r>
          </w:p>
        </w:tc>
        <w:tc>
          <w:tcPr>
            <w:tcW w:w="0" w:type="dxa"/>
          </w:tcPr>
          <w:p w14:paraId="3556AD66" w14:textId="77777777" w:rsidR="00154783" w:rsidRPr="00162094" w:rsidRDefault="00154783" w:rsidP="00526D0C">
            <w:pPr>
              <w:pStyle w:val="TableTextLeft"/>
              <w:rPr>
                <w:i/>
                <w:iCs/>
              </w:rPr>
            </w:pPr>
            <w:r w:rsidRPr="00162094">
              <w:rPr>
                <w:i/>
                <w:iCs/>
              </w:rPr>
              <w:t>Public Governance, Performance and Accountability Act 2013</w:t>
            </w:r>
          </w:p>
        </w:tc>
      </w:tr>
      <w:tr w:rsidR="00154783" w14:paraId="6DCA7040" w14:textId="77777777" w:rsidTr="00526D0C">
        <w:trPr>
          <w:cnfStyle w:val="000000100000" w:firstRow="0" w:lastRow="0" w:firstColumn="0" w:lastColumn="0" w:oddVBand="0" w:evenVBand="0" w:oddHBand="1" w:evenHBand="0" w:firstRowFirstColumn="0" w:firstRowLastColumn="0" w:lastRowFirstColumn="0" w:lastRowLastColumn="0"/>
        </w:trPr>
        <w:tc>
          <w:tcPr>
            <w:tcW w:w="0" w:type="dxa"/>
          </w:tcPr>
          <w:p w14:paraId="11856586" w14:textId="77777777" w:rsidR="00154783" w:rsidRDefault="00154783" w:rsidP="00526D0C">
            <w:pPr>
              <w:pStyle w:val="TableTextLeft"/>
            </w:pPr>
            <w:r>
              <w:t>RBA</w:t>
            </w:r>
          </w:p>
        </w:tc>
        <w:tc>
          <w:tcPr>
            <w:tcW w:w="0" w:type="dxa"/>
          </w:tcPr>
          <w:p w14:paraId="4594854B" w14:textId="77777777" w:rsidR="00154783" w:rsidRDefault="00154783" w:rsidP="00526D0C">
            <w:pPr>
              <w:pStyle w:val="TableTextLeft"/>
            </w:pPr>
            <w:r>
              <w:t>Reserve Bank of Australia</w:t>
            </w:r>
          </w:p>
        </w:tc>
      </w:tr>
      <w:tr w:rsidR="00154783" w14:paraId="668032E5" w14:textId="77777777" w:rsidTr="00526D0C">
        <w:tc>
          <w:tcPr>
            <w:tcW w:w="0" w:type="dxa"/>
          </w:tcPr>
          <w:p w14:paraId="10F63FC7" w14:textId="134886A0" w:rsidR="00154783" w:rsidRDefault="00602FCC" w:rsidP="00526D0C">
            <w:pPr>
              <w:pStyle w:val="TableTextLeft"/>
            </w:pPr>
            <w:r>
              <w:t>r</w:t>
            </w:r>
            <w:r w:rsidR="00154783">
              <w:t>eg</w:t>
            </w:r>
            <w:r>
              <w:t>t</w:t>
            </w:r>
            <w:r w:rsidR="00154783">
              <w:t>ech</w:t>
            </w:r>
          </w:p>
        </w:tc>
        <w:tc>
          <w:tcPr>
            <w:tcW w:w="0" w:type="dxa"/>
          </w:tcPr>
          <w:p w14:paraId="51F95D61" w14:textId="57A00FED" w:rsidR="00154783" w:rsidRDefault="00154783" w:rsidP="00526D0C">
            <w:pPr>
              <w:pStyle w:val="TableTextLeft"/>
            </w:pPr>
            <w:r>
              <w:t xml:space="preserve">Regulatory technology </w:t>
            </w:r>
          </w:p>
        </w:tc>
      </w:tr>
      <w:tr w:rsidR="00240124" w14:paraId="57324E25" w14:textId="77777777" w:rsidTr="00526D0C">
        <w:trPr>
          <w:cnfStyle w:val="000000100000" w:firstRow="0" w:lastRow="0" w:firstColumn="0" w:lastColumn="0" w:oddVBand="0" w:evenVBand="0" w:oddHBand="1" w:evenHBand="0" w:firstRowFirstColumn="0" w:firstRowLastColumn="0" w:lastRowFirstColumn="0" w:lastRowLastColumn="0"/>
        </w:trPr>
        <w:tc>
          <w:tcPr>
            <w:tcW w:w="2109" w:type="dxa"/>
          </w:tcPr>
          <w:p w14:paraId="2860E5AE" w14:textId="77777777" w:rsidR="00154783" w:rsidRDefault="00154783" w:rsidP="00526D0C">
            <w:pPr>
              <w:pStyle w:val="TableTextLeft"/>
            </w:pPr>
            <w:r>
              <w:t>Royal Commission</w:t>
            </w:r>
          </w:p>
        </w:tc>
        <w:tc>
          <w:tcPr>
            <w:tcW w:w="5996" w:type="dxa"/>
          </w:tcPr>
          <w:p w14:paraId="28581BE1" w14:textId="77777777" w:rsidR="00154783" w:rsidRDefault="00154783" w:rsidP="00526D0C">
            <w:pPr>
              <w:pStyle w:val="TableTextLeft"/>
            </w:pPr>
            <w:r>
              <w:t xml:space="preserve">Royal Commission into Misconduct in the Banking, Superannuation and Financial Services Industry </w:t>
            </w:r>
          </w:p>
        </w:tc>
      </w:tr>
      <w:tr w:rsidR="00154783" w14:paraId="4443AC9C" w14:textId="77777777" w:rsidTr="00526D0C">
        <w:tc>
          <w:tcPr>
            <w:tcW w:w="0" w:type="dxa"/>
          </w:tcPr>
          <w:p w14:paraId="3FECBF41" w14:textId="77777777" w:rsidR="00154783" w:rsidRDefault="00154783" w:rsidP="00526D0C">
            <w:pPr>
              <w:pStyle w:val="TableTextLeft"/>
            </w:pPr>
            <w:r>
              <w:t>SEC</w:t>
            </w:r>
          </w:p>
        </w:tc>
        <w:tc>
          <w:tcPr>
            <w:tcW w:w="0" w:type="dxa"/>
          </w:tcPr>
          <w:p w14:paraId="7871E3F8" w14:textId="77777777" w:rsidR="00154783" w:rsidRDefault="00154783" w:rsidP="00526D0C">
            <w:pPr>
              <w:pStyle w:val="TableTextLeft"/>
            </w:pPr>
            <w:r>
              <w:t>Securities and Exchange Commission, United States</w:t>
            </w:r>
          </w:p>
        </w:tc>
      </w:tr>
      <w:tr w:rsidR="00240124" w14:paraId="569A0648" w14:textId="77777777" w:rsidTr="00526D0C">
        <w:trPr>
          <w:cnfStyle w:val="000000100000" w:firstRow="0" w:lastRow="0" w:firstColumn="0" w:lastColumn="0" w:oddVBand="0" w:evenVBand="0" w:oddHBand="1" w:evenHBand="0" w:firstRowFirstColumn="0" w:firstRowLastColumn="0" w:lastRowFirstColumn="0" w:lastRowLastColumn="0"/>
        </w:trPr>
        <w:tc>
          <w:tcPr>
            <w:tcW w:w="2109" w:type="dxa"/>
          </w:tcPr>
          <w:p w14:paraId="706DFA9B" w14:textId="77777777" w:rsidR="00154783" w:rsidRDefault="00154783" w:rsidP="00526D0C">
            <w:pPr>
              <w:pStyle w:val="TableTextLeft"/>
            </w:pPr>
            <w:r>
              <w:t>SMSF</w:t>
            </w:r>
          </w:p>
        </w:tc>
        <w:tc>
          <w:tcPr>
            <w:tcW w:w="5996" w:type="dxa"/>
          </w:tcPr>
          <w:p w14:paraId="463411C1" w14:textId="49809331" w:rsidR="00154783" w:rsidRDefault="00154783" w:rsidP="00526D0C">
            <w:pPr>
              <w:pStyle w:val="TableTextLeft"/>
            </w:pPr>
            <w:r>
              <w:t>Self</w:t>
            </w:r>
            <w:r w:rsidR="00EF40B0">
              <w:noBreakHyphen/>
            </w:r>
            <w:r>
              <w:t>managed super funds</w:t>
            </w:r>
          </w:p>
        </w:tc>
      </w:tr>
    </w:tbl>
    <w:p w14:paraId="0B0CF6EA" w14:textId="77777777" w:rsidR="00785D50" w:rsidRDefault="00785D50" w:rsidP="00785D50">
      <w:pPr>
        <w:pStyle w:val="Heading1"/>
        <w:spacing w:before="120"/>
        <w:rPr>
          <w:szCs w:val="48"/>
        </w:rPr>
        <w:sectPr w:rsidR="00785D50" w:rsidSect="006621F8">
          <w:footerReference w:type="default" r:id="rId51"/>
          <w:type w:val="oddPage"/>
          <w:pgSz w:w="11906" w:h="16838" w:code="9"/>
          <w:pgMar w:top="1440" w:right="1440" w:bottom="1440" w:left="1440" w:header="709" w:footer="709" w:gutter="0"/>
          <w:cols w:space="708"/>
          <w:docGrid w:linePitch="360"/>
        </w:sectPr>
      </w:pPr>
    </w:p>
    <w:p w14:paraId="4BED27D8" w14:textId="072019A0" w:rsidR="00AD1B55" w:rsidRPr="00AD1B55" w:rsidRDefault="00AD1B55" w:rsidP="00F559D9">
      <w:pPr>
        <w:pStyle w:val="Heading1"/>
      </w:pPr>
      <w:bookmarkStart w:id="152" w:name="_Toc110241845"/>
      <w:bookmarkStart w:id="153" w:name="_Ref110262154"/>
      <w:r w:rsidRPr="00AD1B55">
        <w:lastRenderedPageBreak/>
        <w:t>Appendix A: Methodology of th</w:t>
      </w:r>
      <w:r w:rsidR="00713A4E">
        <w:t>is</w:t>
      </w:r>
      <w:r w:rsidRPr="00AD1B55">
        <w:t xml:space="preserve"> </w:t>
      </w:r>
      <w:r w:rsidR="00E26E12">
        <w:t>r</w:t>
      </w:r>
      <w:r w:rsidRPr="00AD1B55">
        <w:t>eview</w:t>
      </w:r>
      <w:bookmarkEnd w:id="152"/>
      <w:bookmarkEnd w:id="153"/>
    </w:p>
    <w:p w14:paraId="4A366877" w14:textId="77777777" w:rsidR="0087332D" w:rsidRPr="00F44D6E" w:rsidRDefault="0087332D" w:rsidP="00C47AE1">
      <w:pPr>
        <w:pStyle w:val="Heading3"/>
        <w:rPr>
          <w:sz w:val="24"/>
          <w:szCs w:val="24"/>
        </w:rPr>
      </w:pPr>
      <w:bookmarkStart w:id="154" w:name="_Toc108786472"/>
      <w:bookmarkStart w:id="155" w:name="_Toc109640401"/>
      <w:bookmarkStart w:id="156" w:name="_Toc109660584"/>
      <w:r w:rsidRPr="001D68A6">
        <w:t>Methodology</w:t>
      </w:r>
      <w:bookmarkEnd w:id="154"/>
      <w:bookmarkEnd w:id="155"/>
      <w:bookmarkEnd w:id="156"/>
    </w:p>
    <w:p w14:paraId="24527832" w14:textId="090CDC30" w:rsidR="0087332D" w:rsidRPr="006D3523" w:rsidRDefault="0087332D" w:rsidP="0087332D">
      <w:pPr>
        <w:pStyle w:val="numberedtext"/>
        <w:tabs>
          <w:tab w:val="clear" w:pos="601"/>
          <w:tab w:val="left" w:pos="284"/>
        </w:tabs>
        <w:ind w:left="0" w:firstLine="0"/>
      </w:pPr>
      <w:r>
        <w:t xml:space="preserve">The FRAA has used a range of methods to gather evidence from a broad range of external stakeholders and ASIC staff during the course of </w:t>
      </w:r>
      <w:r w:rsidDel="00F21C1A">
        <w:t>this</w:t>
      </w:r>
      <w:r>
        <w:t xml:space="preserve"> </w:t>
      </w:r>
      <w:r w:rsidR="00E26E12">
        <w:t>r</w:t>
      </w:r>
      <w:r>
        <w:t xml:space="preserve">eview. </w:t>
      </w:r>
    </w:p>
    <w:p w14:paraId="0AD9DD46" w14:textId="20E5ABB1" w:rsidR="0087332D" w:rsidRDefault="0087332D" w:rsidP="0087332D">
      <w:pPr>
        <w:pStyle w:val="numberedtext"/>
        <w:ind w:left="0" w:firstLine="0"/>
        <w:rPr>
          <w:color w:val="003379"/>
          <w:szCs w:val="24"/>
        </w:rPr>
        <w:sectPr w:rsidR="0087332D" w:rsidSect="00526D0C">
          <w:type w:val="oddPage"/>
          <w:pgSz w:w="11906" w:h="16838"/>
          <w:pgMar w:top="1440" w:right="1440" w:bottom="1440" w:left="1440" w:header="709" w:footer="709" w:gutter="0"/>
          <w:cols w:space="708"/>
          <w:docGrid w:linePitch="360"/>
        </w:sectPr>
      </w:pPr>
      <w:r w:rsidRPr="5C921D63">
        <w:t xml:space="preserve">Boston Consulting Group was </w:t>
      </w:r>
      <w:r w:rsidRPr="5C921D63" w:rsidDel="00DB3C1A">
        <w:t xml:space="preserve">engaged </w:t>
      </w:r>
      <w:r w:rsidRPr="5C921D63">
        <w:t xml:space="preserve">to provide support to the FRAA, in particular conducting the surveys, </w:t>
      </w:r>
      <w:r>
        <w:t xml:space="preserve">international </w:t>
      </w:r>
      <w:r w:rsidRPr="5C921D63">
        <w:t xml:space="preserve">peer regulator </w:t>
      </w:r>
      <w:r>
        <w:t>consultations</w:t>
      </w:r>
      <w:r w:rsidRPr="5C921D63">
        <w:t xml:space="preserve"> and interviews with ASIC staff</w:t>
      </w:r>
      <w:r w:rsidR="0096613B">
        <w:t xml:space="preserve"> members</w:t>
      </w:r>
      <w:r w:rsidRPr="5C921D63">
        <w:t>.</w:t>
      </w:r>
    </w:p>
    <w:p w14:paraId="630A885D" w14:textId="77777777" w:rsidR="0087332D" w:rsidRPr="00CD72C5" w:rsidRDefault="0087332D" w:rsidP="00DC518C">
      <w:pPr>
        <w:pStyle w:val="Heading3"/>
      </w:pPr>
      <w:bookmarkStart w:id="157" w:name="_Toc108786473"/>
      <w:r w:rsidRPr="001D68A6">
        <w:t>Public consultation</w:t>
      </w:r>
      <w:bookmarkEnd w:id="157"/>
    </w:p>
    <w:p w14:paraId="261E51FF" w14:textId="7EE1279E" w:rsidR="0087332D" w:rsidRDefault="0087332D" w:rsidP="0087332D">
      <w:pPr>
        <w:pStyle w:val="numberedtext"/>
        <w:sectPr w:rsidR="0087332D" w:rsidSect="00375F4C">
          <w:type w:val="continuous"/>
          <w:pgSz w:w="11906" w:h="16838"/>
          <w:pgMar w:top="1440" w:right="1440" w:bottom="1440" w:left="1440" w:header="708" w:footer="708" w:gutter="0"/>
          <w:cols w:space="708"/>
          <w:docGrid w:linePitch="360"/>
        </w:sectPr>
      </w:pPr>
      <w:r w:rsidRPr="5C921D63">
        <w:t>The FRAA conducted a public consultation between 29 November 2021 and 28 January 2022. The consultation paper outlined the scope of th</w:t>
      </w:r>
      <w:r>
        <w:t>is</w:t>
      </w:r>
      <w:r w:rsidRPr="5C921D63">
        <w:t xml:space="preserve"> </w:t>
      </w:r>
      <w:r w:rsidR="00E26E12">
        <w:t>r</w:t>
      </w:r>
      <w:r w:rsidRPr="5C921D63">
        <w:t>eview and sought feedback on 14 questions.</w:t>
      </w:r>
      <w:r w:rsidRPr="5C921D63">
        <w:rPr>
          <w:rStyle w:val="FootnoteReference"/>
          <w:sz w:val="22"/>
        </w:rPr>
        <w:footnoteReference w:id="217"/>
      </w:r>
      <w:r w:rsidRPr="5C921D63">
        <w:t xml:space="preserve"> </w:t>
      </w:r>
      <w:r>
        <w:t>The FRAA received 16</w:t>
      </w:r>
      <w:r w:rsidRPr="5C921D63">
        <w:t xml:space="preserve"> public submissions </w:t>
      </w:r>
      <w:r>
        <w:t xml:space="preserve">(outlined below) </w:t>
      </w:r>
      <w:r w:rsidRPr="5C921D63">
        <w:t xml:space="preserve">and </w:t>
      </w:r>
      <w:r>
        <w:t>5</w:t>
      </w:r>
      <w:r w:rsidRPr="5C921D63">
        <w:t xml:space="preserve"> confidential submissions.</w:t>
      </w:r>
      <w:r>
        <w:rPr>
          <w:rStyle w:val="FootnoteReference"/>
          <w:sz w:val="22"/>
        </w:rPr>
        <w:footnoteReference w:id="218"/>
      </w:r>
    </w:p>
    <w:p w14:paraId="743C60ED" w14:textId="77777777" w:rsidR="0087332D" w:rsidRPr="00415955" w:rsidRDefault="0087332D" w:rsidP="00AC2839">
      <w:pPr>
        <w:pStyle w:val="Bulletleft"/>
      </w:pPr>
      <w:r w:rsidRPr="00415955">
        <w:t>Australian Banking Association</w:t>
      </w:r>
    </w:p>
    <w:p w14:paraId="4B5F5444" w14:textId="77777777" w:rsidR="0087332D" w:rsidRPr="00415955" w:rsidRDefault="0087332D" w:rsidP="00AC2839">
      <w:pPr>
        <w:pStyle w:val="Bulletleft"/>
      </w:pPr>
      <w:r w:rsidRPr="00415955">
        <w:t xml:space="preserve">Australian Financial Markets Association </w:t>
      </w:r>
    </w:p>
    <w:p w14:paraId="23308B66" w14:textId="77777777" w:rsidR="0087332D" w:rsidRPr="00415955" w:rsidRDefault="0087332D" w:rsidP="00AC2839">
      <w:pPr>
        <w:pStyle w:val="Bulletleft"/>
      </w:pPr>
      <w:r w:rsidRPr="00415955">
        <w:t>Australian Institute of Company Directors</w:t>
      </w:r>
    </w:p>
    <w:p w14:paraId="1860819A" w14:textId="77777777" w:rsidR="0087332D" w:rsidRPr="00415955" w:rsidRDefault="0087332D" w:rsidP="00AC2839">
      <w:pPr>
        <w:pStyle w:val="Bulletleft"/>
      </w:pPr>
      <w:r w:rsidRPr="00415955">
        <w:t>Australian Institute of Superannuation Trustees</w:t>
      </w:r>
    </w:p>
    <w:p w14:paraId="4958B79A" w14:textId="77777777" w:rsidR="0087332D" w:rsidRPr="00415955" w:rsidRDefault="0087332D" w:rsidP="00AC2839">
      <w:pPr>
        <w:pStyle w:val="Bulletleft"/>
      </w:pPr>
      <w:r w:rsidRPr="00415955">
        <w:t>Australian Restructuring Insolvency and Turnaround Association</w:t>
      </w:r>
    </w:p>
    <w:p w14:paraId="6B8873CC" w14:textId="6EF2ECF5" w:rsidR="0087332D" w:rsidRPr="00415955" w:rsidRDefault="0087332D" w:rsidP="00AC2839">
      <w:pPr>
        <w:pStyle w:val="Bulletleft"/>
      </w:pPr>
      <w:r w:rsidRPr="00415955">
        <w:t xml:space="preserve">Australian </w:t>
      </w:r>
      <w:r w:rsidR="00AC1867">
        <w:t>Securities</w:t>
      </w:r>
      <w:r w:rsidRPr="00415955">
        <w:t xml:space="preserve"> Exchange </w:t>
      </w:r>
    </w:p>
    <w:p w14:paraId="6CCF45AE" w14:textId="77777777" w:rsidR="0087332D" w:rsidRPr="00415955" w:rsidRDefault="0087332D" w:rsidP="00AC2839">
      <w:pPr>
        <w:pStyle w:val="Bulletleft"/>
      </w:pPr>
      <w:r w:rsidRPr="00415955">
        <w:t>Business Council of Australia</w:t>
      </w:r>
    </w:p>
    <w:p w14:paraId="66B105B1" w14:textId="77777777" w:rsidR="0087332D" w:rsidRPr="00415955" w:rsidRDefault="0087332D" w:rsidP="00AC2839">
      <w:pPr>
        <w:pStyle w:val="Bulletleft"/>
      </w:pPr>
      <w:r w:rsidRPr="00415955">
        <w:t>CHOICE</w:t>
      </w:r>
    </w:p>
    <w:p w14:paraId="30343D48" w14:textId="58657A90" w:rsidR="0087332D" w:rsidRPr="00415955" w:rsidRDefault="00093528" w:rsidP="00AC2839">
      <w:pPr>
        <w:pStyle w:val="Bulletleft"/>
      </w:pPr>
      <w:r>
        <w:t>CPA</w:t>
      </w:r>
      <w:r w:rsidR="0087332D" w:rsidRPr="00415955">
        <w:t xml:space="preserve"> Australia</w:t>
      </w:r>
    </w:p>
    <w:p w14:paraId="5F1FAECC" w14:textId="77777777" w:rsidR="0087332D" w:rsidRPr="00415955" w:rsidRDefault="0087332D" w:rsidP="00AC2839">
      <w:pPr>
        <w:pStyle w:val="Bulletleft"/>
      </w:pPr>
      <w:r w:rsidRPr="00415955">
        <w:t>Customer Owned Banking Association</w:t>
      </w:r>
    </w:p>
    <w:p w14:paraId="5D81B86D" w14:textId="77777777" w:rsidR="0087332D" w:rsidRPr="00415955" w:rsidRDefault="0087332D" w:rsidP="00AC2839">
      <w:pPr>
        <w:pStyle w:val="Bulletleft"/>
      </w:pPr>
      <w:r w:rsidRPr="00415955">
        <w:t xml:space="preserve">Financial Services Institute of Australasia </w:t>
      </w:r>
    </w:p>
    <w:p w14:paraId="548D1227" w14:textId="77777777" w:rsidR="0087332D" w:rsidRPr="00415955" w:rsidRDefault="0087332D" w:rsidP="00AC2839">
      <w:pPr>
        <w:pStyle w:val="Bulletleft"/>
      </w:pPr>
      <w:r w:rsidRPr="00415955">
        <w:t>Institute of Public Accountants</w:t>
      </w:r>
    </w:p>
    <w:p w14:paraId="42FE32DE" w14:textId="77777777" w:rsidR="0087332D" w:rsidRPr="00415955" w:rsidRDefault="0087332D" w:rsidP="00AC2839">
      <w:pPr>
        <w:pStyle w:val="Bulletleft"/>
      </w:pPr>
      <w:r w:rsidRPr="00415955">
        <w:t>Insurance Council of Australia</w:t>
      </w:r>
    </w:p>
    <w:p w14:paraId="2CF23A2D" w14:textId="77777777" w:rsidR="0087332D" w:rsidRPr="00415955" w:rsidRDefault="0087332D" w:rsidP="00AC2839">
      <w:pPr>
        <w:pStyle w:val="Bulletleft"/>
      </w:pPr>
      <w:r w:rsidRPr="00415955">
        <w:t xml:space="preserve">Knox Millhouse </w:t>
      </w:r>
    </w:p>
    <w:p w14:paraId="63AEADC8" w14:textId="77777777" w:rsidR="0087332D" w:rsidRPr="00415955" w:rsidRDefault="0087332D" w:rsidP="00AC2839">
      <w:pPr>
        <w:pStyle w:val="Bulletleft"/>
      </w:pPr>
      <w:r w:rsidRPr="00415955">
        <w:t>Law Council of Australia</w:t>
      </w:r>
    </w:p>
    <w:p w14:paraId="3F4DBEE7" w14:textId="3E0556BA" w:rsidR="0087332D" w:rsidRPr="00415955" w:rsidRDefault="0087332D" w:rsidP="00AC2839">
      <w:pPr>
        <w:pStyle w:val="Bulletleft"/>
        <w:sectPr w:rsidR="0087332D" w:rsidRPr="00415955" w:rsidSect="00375F4C">
          <w:type w:val="continuous"/>
          <w:pgSz w:w="11906" w:h="16838"/>
          <w:pgMar w:top="1440" w:right="1440" w:bottom="1440" w:left="1440" w:header="708" w:footer="708" w:gutter="0"/>
          <w:cols w:num="2" w:space="708"/>
          <w:docGrid w:linePitch="360"/>
        </w:sectPr>
      </w:pPr>
      <w:r w:rsidRPr="00415955">
        <w:t>Self</w:t>
      </w:r>
      <w:r w:rsidR="00EF40B0">
        <w:noBreakHyphen/>
      </w:r>
      <w:r w:rsidRPr="00415955">
        <w:t xml:space="preserve">Managed Super Fund Association </w:t>
      </w:r>
    </w:p>
    <w:p w14:paraId="24A17751" w14:textId="77777777" w:rsidR="0087332D" w:rsidRPr="006D3523" w:rsidRDefault="0087332D" w:rsidP="00DC518C">
      <w:pPr>
        <w:pStyle w:val="Heading3"/>
      </w:pPr>
      <w:bookmarkStart w:id="158" w:name="_Toc108786474"/>
      <w:r w:rsidRPr="001D68A6">
        <w:t>Consultation with a broad range of stakeholders</w:t>
      </w:r>
      <w:bookmarkEnd w:id="158"/>
      <w:r w:rsidRPr="001D68A6">
        <w:t xml:space="preserve"> </w:t>
      </w:r>
    </w:p>
    <w:p w14:paraId="616B1845" w14:textId="77777777" w:rsidR="0087332D" w:rsidRDefault="0087332D" w:rsidP="0087332D">
      <w:r>
        <w:t>The FRAA consulted with a broad range of stakeholders to gather information, data and feedback.</w:t>
      </w:r>
    </w:p>
    <w:p w14:paraId="648EF198" w14:textId="77777777" w:rsidR="0087332D" w:rsidRPr="00DC518C" w:rsidRDefault="0087332D" w:rsidP="0087332D">
      <w:pPr>
        <w:pStyle w:val="Heading4"/>
        <w:sectPr w:rsidR="0087332D" w:rsidRPr="00DC518C" w:rsidSect="00375F4C">
          <w:footerReference w:type="default" r:id="rId52"/>
          <w:type w:val="continuous"/>
          <w:pgSz w:w="11906" w:h="16838"/>
          <w:pgMar w:top="1440" w:right="1440" w:bottom="1440" w:left="1440" w:header="708" w:footer="708" w:gutter="0"/>
          <w:cols w:space="708"/>
          <w:docGrid w:linePitch="360"/>
        </w:sectPr>
      </w:pPr>
      <w:r>
        <w:t xml:space="preserve">Individuals with relevant </w:t>
      </w:r>
      <w:r w:rsidRPr="001A394F">
        <w:t>experience</w:t>
      </w:r>
    </w:p>
    <w:p w14:paraId="5AD74EF3" w14:textId="358CD36B" w:rsidR="0087332D" w:rsidRPr="00415955" w:rsidRDefault="0087332D" w:rsidP="00AC2839">
      <w:pPr>
        <w:pStyle w:val="Bulletleft"/>
      </w:pPr>
      <w:r w:rsidRPr="00415955">
        <w:t xml:space="preserve">Alan Cameron AO, </w:t>
      </w:r>
      <w:r w:rsidR="007C6A9E">
        <w:t>f</w:t>
      </w:r>
      <w:r w:rsidRPr="00415955">
        <w:t>ormer ASIC</w:t>
      </w:r>
    </w:p>
    <w:p w14:paraId="10FCAE5A" w14:textId="471964DB" w:rsidR="0087332D" w:rsidRPr="00415955" w:rsidRDefault="17208006" w:rsidP="00AC2839">
      <w:pPr>
        <w:pStyle w:val="Bulletleft"/>
      </w:pPr>
      <w:r>
        <w:t>Tony D</w:t>
      </w:r>
      <w:r w:rsidR="00EF40B0">
        <w:t>’</w:t>
      </w:r>
      <w:r>
        <w:t xml:space="preserve">Aloisio, </w:t>
      </w:r>
      <w:r w:rsidR="75C85354">
        <w:t>f</w:t>
      </w:r>
      <w:r>
        <w:t>ormer ASIC</w:t>
      </w:r>
    </w:p>
    <w:p w14:paraId="48B95FA7" w14:textId="0899CB33" w:rsidR="0087332D" w:rsidRPr="00415955" w:rsidRDefault="0087332D" w:rsidP="00AC2839">
      <w:pPr>
        <w:pStyle w:val="Bulletleft"/>
      </w:pPr>
      <w:r w:rsidRPr="00415955">
        <w:t xml:space="preserve">John Fraser, </w:t>
      </w:r>
      <w:r w:rsidR="007C6A9E">
        <w:t xml:space="preserve">former </w:t>
      </w:r>
      <w:r w:rsidRPr="00415955">
        <w:t>Treasury</w:t>
      </w:r>
    </w:p>
    <w:p w14:paraId="0A9762E9" w14:textId="1ACF2120" w:rsidR="0087332D" w:rsidRPr="00415955" w:rsidRDefault="0087332D" w:rsidP="00AC2839">
      <w:pPr>
        <w:pStyle w:val="Bulletleft"/>
      </w:pPr>
      <w:r w:rsidRPr="00415955">
        <w:t xml:space="preserve">Belinda Gibson, </w:t>
      </w:r>
      <w:r w:rsidR="007C6A9E">
        <w:t>f</w:t>
      </w:r>
      <w:r w:rsidRPr="00415955">
        <w:t>ormer ASIC</w:t>
      </w:r>
    </w:p>
    <w:p w14:paraId="6CBA44EE" w14:textId="7EABF43F" w:rsidR="0087332D" w:rsidRPr="00415955" w:rsidRDefault="0087332D" w:rsidP="00AC2839">
      <w:pPr>
        <w:pStyle w:val="Bulletleft"/>
      </w:pPr>
      <w:r w:rsidRPr="00415955">
        <w:t xml:space="preserve">Mark Gray, ASIC Capability Review </w:t>
      </w:r>
    </w:p>
    <w:p w14:paraId="40F358D2" w14:textId="5022662B" w:rsidR="0087332D" w:rsidRPr="00415955" w:rsidRDefault="0087332D" w:rsidP="00AC2839">
      <w:pPr>
        <w:pStyle w:val="Bulletleft"/>
      </w:pPr>
      <w:r w:rsidRPr="00415955">
        <w:t xml:space="preserve">Kenneth Hayne AC QC, Royal Commission </w:t>
      </w:r>
      <w:r w:rsidR="005A780C">
        <w:t xml:space="preserve"> </w:t>
      </w:r>
    </w:p>
    <w:p w14:paraId="4E9CDDEE" w14:textId="207CECB4" w:rsidR="00DB7EC0" w:rsidRDefault="00AB04F1" w:rsidP="00AC2839">
      <w:pPr>
        <w:pStyle w:val="Bulletleft"/>
      </w:pPr>
      <w:r>
        <w:t xml:space="preserve">Jacob Hook, Oliver </w:t>
      </w:r>
      <w:r w:rsidRPr="00415955">
        <w:t>Wyman</w:t>
      </w:r>
    </w:p>
    <w:p w14:paraId="5B31FEBF" w14:textId="3AAB9277" w:rsidR="0087332D" w:rsidRPr="00415955" w:rsidRDefault="0087332D" w:rsidP="00AC2839">
      <w:pPr>
        <w:pStyle w:val="Bulletleft"/>
      </w:pPr>
      <w:r w:rsidRPr="00415955">
        <w:t>Dimity Kingsford Smith, University of New</w:t>
      </w:r>
      <w:r w:rsidR="00AC2839">
        <w:t> </w:t>
      </w:r>
      <w:r w:rsidRPr="00415955">
        <w:t>South Wales</w:t>
      </w:r>
    </w:p>
    <w:p w14:paraId="2806DEFF" w14:textId="77777777" w:rsidR="0087332D" w:rsidRPr="00415955" w:rsidRDefault="0087332D" w:rsidP="00AC2839">
      <w:pPr>
        <w:pStyle w:val="Bulletleft"/>
      </w:pPr>
      <w:r w:rsidRPr="00415955">
        <w:t>Alan Kirkland, CHOICE</w:t>
      </w:r>
    </w:p>
    <w:p w14:paraId="2AA5AEE9" w14:textId="0BEB74DF" w:rsidR="0087332D" w:rsidRPr="00415955" w:rsidRDefault="0087332D" w:rsidP="00AC2839">
      <w:pPr>
        <w:pStyle w:val="Bulletleft"/>
      </w:pPr>
      <w:r w:rsidRPr="00415955">
        <w:t xml:space="preserve">Phillip Lowe, </w:t>
      </w:r>
      <w:r w:rsidR="005A780C">
        <w:t>RBA</w:t>
      </w:r>
    </w:p>
    <w:p w14:paraId="3133E50E" w14:textId="4287E0A6" w:rsidR="0087332D" w:rsidRPr="00415955" w:rsidRDefault="742DF3EC" w:rsidP="00AC2839">
      <w:pPr>
        <w:pStyle w:val="Bulletleft"/>
      </w:pPr>
      <w:r>
        <w:t xml:space="preserve">Greg Medcraft, </w:t>
      </w:r>
      <w:r w:rsidR="6004438B">
        <w:t>f</w:t>
      </w:r>
      <w:r>
        <w:t xml:space="preserve">ormer ASIC </w:t>
      </w:r>
    </w:p>
    <w:p w14:paraId="2EE71DB5" w14:textId="40EFB66A" w:rsidR="0087332D" w:rsidRPr="00415955" w:rsidRDefault="0087332D" w:rsidP="00AC2839">
      <w:pPr>
        <w:pStyle w:val="Bulletleft"/>
      </w:pPr>
      <w:r w:rsidRPr="00415955">
        <w:t xml:space="preserve">John Price, </w:t>
      </w:r>
      <w:r w:rsidR="00A04485">
        <w:t>f</w:t>
      </w:r>
      <w:r w:rsidRPr="00415955">
        <w:t xml:space="preserve">ormer ASIC </w:t>
      </w:r>
    </w:p>
    <w:p w14:paraId="736B7780" w14:textId="77777777" w:rsidR="0087332D" w:rsidRPr="00415955" w:rsidRDefault="0087332D" w:rsidP="00AC2839">
      <w:pPr>
        <w:pStyle w:val="Bulletleft"/>
      </w:pPr>
      <w:r w:rsidRPr="00415955">
        <w:t xml:space="preserve">Andrew Procter, Herbert Smith Freehills </w:t>
      </w:r>
    </w:p>
    <w:p w14:paraId="7CD46607" w14:textId="474C043F" w:rsidR="0087332D" w:rsidRPr="00415955" w:rsidRDefault="0087332D" w:rsidP="00AC2839">
      <w:pPr>
        <w:pStyle w:val="Bulletleft"/>
      </w:pPr>
      <w:r w:rsidRPr="00415955">
        <w:t xml:space="preserve">Ian Ramsay, University of Melbourne </w:t>
      </w:r>
    </w:p>
    <w:p w14:paraId="7B5B168C" w14:textId="2E3759EB" w:rsidR="0087332D" w:rsidRPr="00930CE9" w:rsidRDefault="0087332D" w:rsidP="00AC2839">
      <w:pPr>
        <w:pStyle w:val="Bulletleft"/>
      </w:pPr>
      <w:r w:rsidRPr="00930CE9">
        <w:t xml:space="preserve">James Shipton, </w:t>
      </w:r>
      <w:r w:rsidR="00A04485" w:rsidRPr="00930CE9">
        <w:t>f</w:t>
      </w:r>
      <w:r w:rsidRPr="00930CE9">
        <w:t>ormer ASIC</w:t>
      </w:r>
    </w:p>
    <w:p w14:paraId="707CEA60" w14:textId="5FEEF4C2" w:rsidR="0087332D" w:rsidRPr="00415955" w:rsidRDefault="0087332D" w:rsidP="00AC2839">
      <w:pPr>
        <w:pStyle w:val="Bulletleft"/>
      </w:pPr>
      <w:r w:rsidRPr="00415955">
        <w:t xml:space="preserve">Rod Sims, </w:t>
      </w:r>
      <w:r w:rsidR="005E759E">
        <w:t xml:space="preserve">former </w:t>
      </w:r>
      <w:r w:rsidR="005A780C">
        <w:t>ACCC</w:t>
      </w:r>
    </w:p>
    <w:p w14:paraId="033845E9" w14:textId="29C16CB1" w:rsidR="0087332D" w:rsidRPr="00415955" w:rsidRDefault="0087332D" w:rsidP="00AC2839">
      <w:pPr>
        <w:pStyle w:val="Bulletleft"/>
      </w:pPr>
      <w:r w:rsidRPr="00415955">
        <w:t xml:space="preserve">Glenn Stevens, </w:t>
      </w:r>
      <w:r w:rsidR="005E759E">
        <w:t xml:space="preserve">former </w:t>
      </w:r>
      <w:r w:rsidR="005A780C">
        <w:t>RBA</w:t>
      </w:r>
    </w:p>
    <w:p w14:paraId="20DEB7D0" w14:textId="1DF20CB8" w:rsidR="0087332D" w:rsidRPr="00415955" w:rsidRDefault="0087332D" w:rsidP="00AC2839">
      <w:pPr>
        <w:pStyle w:val="Bulletleft"/>
      </w:pPr>
      <w:r w:rsidRPr="00415955">
        <w:lastRenderedPageBreak/>
        <w:t xml:space="preserve">Mark Steward, </w:t>
      </w:r>
      <w:r w:rsidR="005A780C">
        <w:t>FCA</w:t>
      </w:r>
    </w:p>
    <w:p w14:paraId="1B3E7AF0" w14:textId="329A226B" w:rsidR="0087332D" w:rsidRPr="00415955" w:rsidRDefault="0087332D" w:rsidP="00AC2839">
      <w:pPr>
        <w:pStyle w:val="Bulletleft"/>
        <w:sectPr w:rsidR="0087332D" w:rsidRPr="00415955" w:rsidSect="00375F4C">
          <w:type w:val="continuous"/>
          <w:pgSz w:w="11906" w:h="16838"/>
          <w:pgMar w:top="1440" w:right="1440" w:bottom="1440" w:left="1440" w:header="708" w:footer="708" w:gutter="0"/>
          <w:cols w:num="2" w:space="708"/>
          <w:docGrid w:linePitch="360"/>
        </w:sectPr>
      </w:pPr>
      <w:r w:rsidRPr="00415955">
        <w:t xml:space="preserve">Geoff Summerhayes, </w:t>
      </w:r>
      <w:r w:rsidR="005E759E">
        <w:t>former</w:t>
      </w:r>
      <w:r w:rsidR="00D655A0">
        <w:t xml:space="preserve"> </w:t>
      </w:r>
      <w:r w:rsidR="005A780C">
        <w:t>APRA</w:t>
      </w:r>
      <w:r w:rsidRPr="00415955">
        <w:t xml:space="preserve"> </w:t>
      </w:r>
    </w:p>
    <w:p w14:paraId="46FF0189" w14:textId="77777777" w:rsidR="0087332D" w:rsidRPr="001A394F" w:rsidRDefault="0087332D" w:rsidP="0087332D">
      <w:pPr>
        <w:pStyle w:val="Heading4"/>
      </w:pPr>
      <w:r w:rsidRPr="001A394F">
        <w:t>Consumer advocacy bodies</w:t>
      </w:r>
    </w:p>
    <w:p w14:paraId="3FEAAF06" w14:textId="77777777" w:rsidR="0087332D" w:rsidRDefault="0087332D" w:rsidP="00975036">
      <w:pPr>
        <w:pStyle w:val="Bullet"/>
        <w:numPr>
          <w:ilvl w:val="0"/>
          <w:numId w:val="3"/>
        </w:numPr>
        <w:spacing w:before="120"/>
        <w:sectPr w:rsidR="0087332D" w:rsidSect="00375F4C">
          <w:type w:val="continuous"/>
          <w:pgSz w:w="11906" w:h="16838"/>
          <w:pgMar w:top="1440" w:right="1440" w:bottom="1440" w:left="1440" w:header="708" w:footer="708" w:gutter="0"/>
          <w:cols w:space="708"/>
          <w:docGrid w:linePitch="360"/>
        </w:sectPr>
      </w:pPr>
    </w:p>
    <w:p w14:paraId="2949533F" w14:textId="77777777" w:rsidR="0087332D" w:rsidRPr="00415955" w:rsidRDefault="0087332D" w:rsidP="00AC2839">
      <w:pPr>
        <w:pStyle w:val="Bulletleft"/>
      </w:pPr>
      <w:r w:rsidRPr="00415955">
        <w:t xml:space="preserve">Consumer Action Law Centre </w:t>
      </w:r>
    </w:p>
    <w:p w14:paraId="7D0B5819" w14:textId="01BFD18A" w:rsidR="0087332D" w:rsidRPr="00415955" w:rsidRDefault="0087332D" w:rsidP="00AC2839">
      <w:pPr>
        <w:pStyle w:val="Bulletleft"/>
      </w:pPr>
      <w:r w:rsidRPr="00415955">
        <w:t>Consumer Credit Legal Service Western</w:t>
      </w:r>
      <w:r w:rsidR="00AC2839">
        <w:t> </w:t>
      </w:r>
      <w:r w:rsidRPr="00415955">
        <w:t xml:space="preserve">Australia </w:t>
      </w:r>
    </w:p>
    <w:p w14:paraId="373FAA79" w14:textId="77777777" w:rsidR="0087332D" w:rsidRPr="00415955" w:rsidRDefault="0087332D" w:rsidP="00AC2839">
      <w:pPr>
        <w:pStyle w:val="Bulletleft"/>
      </w:pPr>
      <w:r w:rsidRPr="00415955">
        <w:t xml:space="preserve">Council on the Ageing </w:t>
      </w:r>
    </w:p>
    <w:p w14:paraId="207BB34F" w14:textId="77777777" w:rsidR="0087332D" w:rsidRPr="00415955" w:rsidRDefault="0087332D" w:rsidP="00AC2839">
      <w:pPr>
        <w:pStyle w:val="Bulletleft"/>
      </w:pPr>
      <w:r w:rsidRPr="00415955">
        <w:t xml:space="preserve">Financial Counselling Australia </w:t>
      </w:r>
    </w:p>
    <w:p w14:paraId="449A9EE3" w14:textId="77777777" w:rsidR="0087332D" w:rsidRPr="00415955" w:rsidRDefault="0087332D" w:rsidP="00AC2839">
      <w:pPr>
        <w:pStyle w:val="Bulletleft"/>
      </w:pPr>
      <w:r w:rsidRPr="00415955">
        <w:t xml:space="preserve">Financial Rights Legal Centre </w:t>
      </w:r>
    </w:p>
    <w:p w14:paraId="7ACE4559" w14:textId="77777777" w:rsidR="0087332D" w:rsidRPr="00415955" w:rsidRDefault="0087332D" w:rsidP="00AC2839">
      <w:pPr>
        <w:pStyle w:val="Bulletleft"/>
      </w:pPr>
      <w:r w:rsidRPr="00415955">
        <w:t xml:space="preserve">Indigenous Consumer Assistance Network </w:t>
      </w:r>
    </w:p>
    <w:p w14:paraId="56477432" w14:textId="77777777" w:rsidR="0087332D" w:rsidRPr="00415955" w:rsidRDefault="0087332D" w:rsidP="00AC2839">
      <w:pPr>
        <w:pStyle w:val="Bulletleft"/>
      </w:pPr>
      <w:r w:rsidRPr="00415955">
        <w:t xml:space="preserve">Super Consumers Australia </w:t>
      </w:r>
    </w:p>
    <w:p w14:paraId="0E418E97" w14:textId="77777777" w:rsidR="0087332D" w:rsidRDefault="0087332D" w:rsidP="0087332D">
      <w:pPr>
        <w:pStyle w:val="Bullet"/>
        <w:numPr>
          <w:ilvl w:val="0"/>
          <w:numId w:val="0"/>
        </w:numPr>
        <w:spacing w:before="120"/>
        <w:sectPr w:rsidR="0087332D" w:rsidSect="00375F4C">
          <w:type w:val="continuous"/>
          <w:pgSz w:w="11906" w:h="16838"/>
          <w:pgMar w:top="1440" w:right="1440" w:bottom="1440" w:left="1440" w:header="708" w:footer="708" w:gutter="0"/>
          <w:cols w:num="2" w:space="708"/>
          <w:docGrid w:linePitch="360"/>
        </w:sectPr>
      </w:pPr>
    </w:p>
    <w:p w14:paraId="0407E3F7" w14:textId="77777777" w:rsidR="0087332D" w:rsidRDefault="0087332D" w:rsidP="0087332D">
      <w:pPr>
        <w:pStyle w:val="Heading4"/>
      </w:pPr>
      <w:r>
        <w:t>Licensing industry stakeholders</w:t>
      </w:r>
    </w:p>
    <w:p w14:paraId="3DC13B8B" w14:textId="77777777" w:rsidR="0087332D" w:rsidRDefault="0087332D" w:rsidP="0087332D">
      <w:pPr>
        <w:pStyle w:val="Heading4"/>
        <w:sectPr w:rsidR="0087332D" w:rsidSect="00375F4C">
          <w:type w:val="continuous"/>
          <w:pgSz w:w="11906" w:h="16838"/>
          <w:pgMar w:top="1440" w:right="1440" w:bottom="1440" w:left="1440" w:header="708" w:footer="708" w:gutter="0"/>
          <w:cols w:space="708"/>
          <w:docGrid w:linePitch="360"/>
        </w:sectPr>
      </w:pPr>
    </w:p>
    <w:p w14:paraId="391621E8" w14:textId="7096672D" w:rsidR="0087332D" w:rsidRPr="00415955" w:rsidRDefault="0087332D" w:rsidP="00AC2839">
      <w:pPr>
        <w:pStyle w:val="Bulletleft"/>
      </w:pPr>
      <w:r w:rsidRPr="00415955">
        <w:t xml:space="preserve">Australian </w:t>
      </w:r>
      <w:r w:rsidR="00AC1867">
        <w:t>S</w:t>
      </w:r>
      <w:r w:rsidR="00C9427F">
        <w:t>ecurities</w:t>
      </w:r>
      <w:r w:rsidRPr="00415955">
        <w:t xml:space="preserve"> Exchange </w:t>
      </w:r>
    </w:p>
    <w:p w14:paraId="211F9607" w14:textId="47B5C3C4" w:rsidR="0087332D" w:rsidRPr="00415955" w:rsidRDefault="0087332D" w:rsidP="00AC2839">
      <w:pPr>
        <w:pStyle w:val="Bulletleft"/>
      </w:pPr>
      <w:r w:rsidRPr="00415955">
        <w:t xml:space="preserve">Kit Legal </w:t>
      </w:r>
    </w:p>
    <w:p w14:paraId="53CB4EBA" w14:textId="48417E7F" w:rsidR="0087332D" w:rsidRPr="00415955" w:rsidRDefault="0087332D" w:rsidP="00AC2839">
      <w:pPr>
        <w:pStyle w:val="Bulletleft"/>
      </w:pPr>
      <w:r w:rsidRPr="00415955">
        <w:t xml:space="preserve">MEX Exchange  </w:t>
      </w:r>
    </w:p>
    <w:p w14:paraId="39981AA6" w14:textId="4DF23DF9" w:rsidR="0087332D" w:rsidRPr="00415955" w:rsidRDefault="0087332D" w:rsidP="00AC2839">
      <w:pPr>
        <w:pStyle w:val="Bulletleft"/>
      </w:pPr>
      <w:r w:rsidRPr="00415955">
        <w:t>National Stock Exchange</w:t>
      </w:r>
      <w:r w:rsidR="009B7178">
        <w:t xml:space="preserve"> of Australia</w:t>
      </w:r>
      <w:r w:rsidRPr="00415955">
        <w:t xml:space="preserve"> </w:t>
      </w:r>
    </w:p>
    <w:p w14:paraId="1B432D6C" w14:textId="6E77FDD1" w:rsidR="0087332D" w:rsidRPr="00415955" w:rsidRDefault="0087332D" w:rsidP="00AC2839">
      <w:pPr>
        <w:pStyle w:val="Bulletleft"/>
      </w:pPr>
      <w:r w:rsidRPr="00415955">
        <w:t xml:space="preserve">Sophie Grace </w:t>
      </w:r>
      <w:r w:rsidR="00221AC9">
        <w:t>– Compliance and Legal</w:t>
      </w:r>
    </w:p>
    <w:p w14:paraId="7B3236E9" w14:textId="7CD6E081" w:rsidR="0087332D" w:rsidRPr="00415955" w:rsidRDefault="0087332D" w:rsidP="00AC2839">
      <w:pPr>
        <w:pStyle w:val="Bulletleft"/>
        <w:rPr>
          <w:rFonts w:eastAsiaTheme="minorHAnsi"/>
        </w:rPr>
        <w:sectPr w:rsidR="0087332D" w:rsidRPr="00415955" w:rsidSect="00375F4C">
          <w:type w:val="continuous"/>
          <w:pgSz w:w="11906" w:h="16838"/>
          <w:pgMar w:top="1440" w:right="1440" w:bottom="1440" w:left="1440" w:header="708" w:footer="708" w:gutter="0"/>
          <w:cols w:num="2" w:space="708"/>
          <w:docGrid w:linePitch="360"/>
        </w:sectPr>
      </w:pPr>
      <w:r w:rsidRPr="00415955">
        <w:t>The Fol</w:t>
      </w:r>
      <w:r w:rsidR="00C324F9">
        <w:t>d Legal</w:t>
      </w:r>
    </w:p>
    <w:p w14:paraId="50718F11" w14:textId="23AB2DE2" w:rsidR="0087332D" w:rsidRDefault="000C7A6B" w:rsidP="0087332D">
      <w:pPr>
        <w:pStyle w:val="Heading4"/>
      </w:pPr>
      <w:r>
        <w:t>ASIC external panels</w:t>
      </w:r>
    </w:p>
    <w:p w14:paraId="2F8A53EC" w14:textId="77777777" w:rsidR="0087332D" w:rsidRDefault="0087332D" w:rsidP="0087332D">
      <w:pPr>
        <w:pStyle w:val="Heading4"/>
        <w:sectPr w:rsidR="0087332D" w:rsidSect="00375F4C">
          <w:type w:val="continuous"/>
          <w:pgSz w:w="11906" w:h="16838"/>
          <w:pgMar w:top="1440" w:right="1440" w:bottom="1440" w:left="1440" w:header="708" w:footer="708" w:gutter="0"/>
          <w:cols w:space="708"/>
          <w:docGrid w:linePitch="360"/>
        </w:sectPr>
      </w:pPr>
    </w:p>
    <w:p w14:paraId="68C248EB" w14:textId="77777777" w:rsidR="0087332D" w:rsidRPr="00415955" w:rsidRDefault="0087332D" w:rsidP="00AC2839">
      <w:pPr>
        <w:pStyle w:val="Bulletleft"/>
      </w:pPr>
      <w:r w:rsidRPr="00415955">
        <w:t>Ross Buckley, Chair, ASIC Digital Financial Advisory Panel</w:t>
      </w:r>
    </w:p>
    <w:p w14:paraId="00744474" w14:textId="582A3A47" w:rsidR="0087332D" w:rsidRPr="00415955" w:rsidRDefault="0087332D" w:rsidP="00AC2839">
      <w:pPr>
        <w:pStyle w:val="Bulletleft"/>
      </w:pPr>
      <w:r>
        <w:t xml:space="preserve">Gordon Renouf, Chair, </w:t>
      </w:r>
      <w:r w:rsidR="00D355E6">
        <w:t>ACCP</w:t>
      </w:r>
    </w:p>
    <w:p w14:paraId="0772CAE5" w14:textId="595FBACE" w:rsidR="0087332D" w:rsidRPr="00415955" w:rsidRDefault="0087332D" w:rsidP="00AC2839">
      <w:pPr>
        <w:pStyle w:val="Bulletleft"/>
      </w:pPr>
      <w:r>
        <w:t xml:space="preserve">Peter Achterstraat AM, Chair, ASIC Audit and Risk Committee </w:t>
      </w:r>
    </w:p>
    <w:p w14:paraId="59DE61DF" w14:textId="77777777" w:rsidR="0087332D" w:rsidRDefault="0087332D" w:rsidP="0087332D">
      <w:pPr>
        <w:rPr>
          <w:color w:val="003379"/>
          <w:sz w:val="24"/>
          <w:szCs w:val="24"/>
        </w:rPr>
        <w:sectPr w:rsidR="0087332D" w:rsidSect="00375F4C">
          <w:type w:val="continuous"/>
          <w:pgSz w:w="11906" w:h="16838"/>
          <w:pgMar w:top="1440" w:right="1440" w:bottom="1440" w:left="1440" w:header="708" w:footer="708" w:gutter="0"/>
          <w:cols w:num="2" w:space="708"/>
          <w:docGrid w:linePitch="360"/>
        </w:sectPr>
      </w:pPr>
    </w:p>
    <w:p w14:paraId="435D9392" w14:textId="07A46510" w:rsidR="0087332D" w:rsidRPr="006A411C" w:rsidRDefault="000C7A6B" w:rsidP="0087332D">
      <w:pPr>
        <w:pStyle w:val="Heading4"/>
      </w:pPr>
      <w:r>
        <w:t>Domestic organisations</w:t>
      </w:r>
    </w:p>
    <w:p w14:paraId="46CED63F" w14:textId="77777777" w:rsidR="0087332D" w:rsidRDefault="0087332D" w:rsidP="00975036">
      <w:pPr>
        <w:pStyle w:val="Bullet"/>
        <w:numPr>
          <w:ilvl w:val="0"/>
          <w:numId w:val="3"/>
        </w:numPr>
        <w:spacing w:before="120"/>
        <w:sectPr w:rsidR="0087332D" w:rsidSect="00375F4C">
          <w:footerReference w:type="default" r:id="rId53"/>
          <w:type w:val="continuous"/>
          <w:pgSz w:w="11906" w:h="16838"/>
          <w:pgMar w:top="1440" w:right="1440" w:bottom="1440" w:left="1440" w:header="708" w:footer="708" w:gutter="0"/>
          <w:cols w:space="708"/>
          <w:docGrid w:linePitch="360"/>
        </w:sectPr>
      </w:pPr>
    </w:p>
    <w:p w14:paraId="351DB636" w14:textId="5C9546C7" w:rsidR="0087332D" w:rsidRPr="00415955" w:rsidRDefault="000C7A6B" w:rsidP="00AC2839">
      <w:pPr>
        <w:pStyle w:val="Bulletleft"/>
      </w:pPr>
      <w:r>
        <w:t>Australian Taxation Office</w:t>
      </w:r>
    </w:p>
    <w:p w14:paraId="4FE41167" w14:textId="77777777" w:rsidR="0087332D" w:rsidRDefault="0087332D" w:rsidP="0087332D">
      <w:pPr>
        <w:pStyle w:val="Heading4"/>
        <w:sectPr w:rsidR="0087332D" w:rsidSect="00375F4C">
          <w:type w:val="continuous"/>
          <w:pgSz w:w="11906" w:h="16838"/>
          <w:pgMar w:top="1440" w:right="1440" w:bottom="1440" w:left="1440" w:header="708" w:footer="708" w:gutter="0"/>
          <w:cols w:num="2" w:space="708"/>
          <w:docGrid w:linePitch="360"/>
        </w:sectPr>
      </w:pPr>
    </w:p>
    <w:p w14:paraId="7B7C89CF" w14:textId="77777777" w:rsidR="0087332D" w:rsidRPr="00EF6500" w:rsidRDefault="0087332D" w:rsidP="0087332D">
      <w:pPr>
        <w:pStyle w:val="Heading4"/>
      </w:pPr>
      <w:r w:rsidRPr="00B56779">
        <w:t xml:space="preserve">International </w:t>
      </w:r>
      <w:r>
        <w:t>peer r</w:t>
      </w:r>
      <w:r w:rsidRPr="00B56779">
        <w:t xml:space="preserve">egulators </w:t>
      </w:r>
    </w:p>
    <w:p w14:paraId="20E4163C" w14:textId="77777777" w:rsidR="0087332D" w:rsidRDefault="0087332D" w:rsidP="00975036">
      <w:pPr>
        <w:pStyle w:val="Bullet"/>
        <w:numPr>
          <w:ilvl w:val="0"/>
          <w:numId w:val="3"/>
        </w:numPr>
        <w:spacing w:before="120"/>
        <w:sectPr w:rsidR="0087332D" w:rsidSect="00375F4C">
          <w:type w:val="continuous"/>
          <w:pgSz w:w="11906" w:h="16838"/>
          <w:pgMar w:top="1440" w:right="1440" w:bottom="1440" w:left="1440" w:header="708" w:footer="708" w:gutter="0"/>
          <w:cols w:space="708"/>
          <w:docGrid w:linePitch="360"/>
        </w:sectPr>
      </w:pPr>
    </w:p>
    <w:p w14:paraId="6935BFC1" w14:textId="77777777" w:rsidR="0087332D" w:rsidRPr="00415955" w:rsidRDefault="0087332D" w:rsidP="00AC2839">
      <w:pPr>
        <w:pStyle w:val="Bulletleft"/>
      </w:pPr>
      <w:r w:rsidRPr="00415955">
        <w:t>Authority for the Financial Markets (Netherlands)</w:t>
      </w:r>
    </w:p>
    <w:p w14:paraId="4E0A45A6" w14:textId="3E32C107" w:rsidR="0087332D" w:rsidRPr="00415955" w:rsidRDefault="003A44E0" w:rsidP="00AC2839">
      <w:pPr>
        <w:pStyle w:val="Bulletleft"/>
      </w:pPr>
      <w:r>
        <w:t>FCA</w:t>
      </w:r>
      <w:r w:rsidR="0087332D" w:rsidRPr="00415955">
        <w:t xml:space="preserve"> (United Kingdom)</w:t>
      </w:r>
    </w:p>
    <w:p w14:paraId="7B1ED8C7" w14:textId="77777777" w:rsidR="0087332D" w:rsidRPr="00415955" w:rsidRDefault="0087332D" w:rsidP="00AC2839">
      <w:pPr>
        <w:pStyle w:val="Bulletleft"/>
      </w:pPr>
      <w:r w:rsidRPr="00415955">
        <w:t>Financial Industry Regulatory Authority (United States)</w:t>
      </w:r>
    </w:p>
    <w:p w14:paraId="696F4493" w14:textId="671E2CDD" w:rsidR="0087332D" w:rsidRPr="00415955" w:rsidRDefault="003A44E0" w:rsidP="00AC2839">
      <w:pPr>
        <w:pStyle w:val="Bulletleft"/>
      </w:pPr>
      <w:r>
        <w:t>FMA</w:t>
      </w:r>
      <w:r w:rsidR="0087332D" w:rsidRPr="00415955">
        <w:t xml:space="preserve"> (New Zealand)</w:t>
      </w:r>
    </w:p>
    <w:p w14:paraId="6CA6A606" w14:textId="77777777" w:rsidR="0087332D" w:rsidRPr="00415955" w:rsidRDefault="0087332D" w:rsidP="00AC2839">
      <w:pPr>
        <w:pStyle w:val="Bulletleft"/>
      </w:pPr>
      <w:r w:rsidRPr="00415955">
        <w:t xml:space="preserve">Financial Services Agency (Japan) </w:t>
      </w:r>
    </w:p>
    <w:p w14:paraId="503C203A" w14:textId="6D0F9EA0" w:rsidR="0087332D" w:rsidRPr="00415955" w:rsidRDefault="003A44E0" w:rsidP="00AC2839">
      <w:pPr>
        <w:pStyle w:val="Bulletleft"/>
      </w:pPr>
      <w:r>
        <w:t>MAS</w:t>
      </w:r>
      <w:r w:rsidR="0087332D" w:rsidRPr="00415955">
        <w:t xml:space="preserve"> (Singapore)</w:t>
      </w:r>
    </w:p>
    <w:p w14:paraId="2DAD2837" w14:textId="62F8FF62" w:rsidR="0087332D" w:rsidRPr="00415955" w:rsidRDefault="0087332D" w:rsidP="00AC2839">
      <w:pPr>
        <w:pStyle w:val="Bulletleft"/>
      </w:pPr>
      <w:r w:rsidRPr="00415955">
        <w:t>National Futures Association (United</w:t>
      </w:r>
      <w:r w:rsidR="00AC2839">
        <w:t> </w:t>
      </w:r>
      <w:r w:rsidRPr="00415955">
        <w:t>States)</w:t>
      </w:r>
    </w:p>
    <w:p w14:paraId="66EC82F8" w14:textId="6B9398C6" w:rsidR="0087332D" w:rsidRPr="00415955" w:rsidRDefault="003A44E0" w:rsidP="00AC2839">
      <w:pPr>
        <w:pStyle w:val="Bulletleft"/>
      </w:pPr>
      <w:r>
        <w:t>OSC</w:t>
      </w:r>
      <w:r w:rsidR="0087332D" w:rsidRPr="00415955">
        <w:t xml:space="preserve"> (Canada)</w:t>
      </w:r>
    </w:p>
    <w:p w14:paraId="1A695EC1" w14:textId="4178BB33" w:rsidR="0087332D" w:rsidRPr="00415955" w:rsidRDefault="0087332D" w:rsidP="00AC2839">
      <w:pPr>
        <w:pStyle w:val="Bulletleft"/>
      </w:pPr>
      <w:r w:rsidRPr="00415955">
        <w:t>Securities and Futures Commission (Hong</w:t>
      </w:r>
      <w:r w:rsidR="00AC2839">
        <w:t> </w:t>
      </w:r>
      <w:r w:rsidRPr="00415955">
        <w:t>Kong)</w:t>
      </w:r>
    </w:p>
    <w:p w14:paraId="5764D2DA" w14:textId="0FAF84F6" w:rsidR="0087332D" w:rsidRPr="00415955" w:rsidRDefault="003A44E0" w:rsidP="00AC2839">
      <w:pPr>
        <w:pStyle w:val="Bulletleft"/>
        <w:sectPr w:rsidR="0087332D" w:rsidRPr="00415955" w:rsidSect="00375F4C">
          <w:type w:val="continuous"/>
          <w:pgSz w:w="11906" w:h="16838"/>
          <w:pgMar w:top="1440" w:right="1440" w:bottom="1440" w:left="1440" w:header="708" w:footer="708" w:gutter="0"/>
          <w:cols w:num="2" w:space="708"/>
          <w:docGrid w:linePitch="360"/>
        </w:sectPr>
      </w:pPr>
      <w:r>
        <w:t>SEC</w:t>
      </w:r>
      <w:r w:rsidR="0087332D" w:rsidRPr="00415955">
        <w:t xml:space="preserve"> (United States)</w:t>
      </w:r>
    </w:p>
    <w:p w14:paraId="43AA99F3" w14:textId="77777777" w:rsidR="00415955" w:rsidRDefault="00415955">
      <w:pPr>
        <w:spacing w:before="0" w:after="160" w:line="259" w:lineRule="auto"/>
        <w:rPr>
          <w:rFonts w:cs="Arial"/>
          <w:color w:val="005994"/>
          <w:kern w:val="32"/>
          <w:sz w:val="26"/>
          <w:szCs w:val="26"/>
        </w:rPr>
      </w:pPr>
      <w:r>
        <w:br w:type="page"/>
      </w:r>
    </w:p>
    <w:p w14:paraId="51F9CCA3" w14:textId="548D16A5" w:rsidR="0087332D" w:rsidRPr="009D5CF5" w:rsidRDefault="0087332D" w:rsidP="006A411C">
      <w:pPr>
        <w:pStyle w:val="Heading4"/>
      </w:pPr>
      <w:r w:rsidRPr="00E32C6A">
        <w:lastRenderedPageBreak/>
        <w:t xml:space="preserve">Academic roundtable </w:t>
      </w:r>
    </w:p>
    <w:p w14:paraId="772C6214" w14:textId="718CB229" w:rsidR="0087332D" w:rsidRDefault="0087332D" w:rsidP="00415955">
      <w:r>
        <w:t>The FRAA conducted a roundtable with prominent academics to discuss the development of a framework for measuring outcomes of the financial system, facilitated by Emeritus Professor Kevin Davis from the University of Melbourne. Seven academics with expertise in financial and regulatory policy attended the discussion</w:t>
      </w:r>
      <w:r w:rsidR="00872C32">
        <w:t>.</w:t>
      </w:r>
    </w:p>
    <w:p w14:paraId="7CBB8370" w14:textId="77777777" w:rsidR="0087332D" w:rsidRDefault="0087332D" w:rsidP="00975036">
      <w:pPr>
        <w:pStyle w:val="Bullet"/>
        <w:numPr>
          <w:ilvl w:val="0"/>
          <w:numId w:val="3"/>
        </w:numPr>
        <w:spacing w:before="120"/>
        <w:sectPr w:rsidR="0087332D" w:rsidSect="00375F4C">
          <w:type w:val="continuous"/>
          <w:pgSz w:w="11906" w:h="16838"/>
          <w:pgMar w:top="1440" w:right="1440" w:bottom="1440" w:left="1440" w:header="708" w:footer="708" w:gutter="0"/>
          <w:cols w:space="708"/>
          <w:docGrid w:linePitch="360"/>
        </w:sectPr>
      </w:pPr>
    </w:p>
    <w:p w14:paraId="40AE485D" w14:textId="77777777" w:rsidR="0087332D" w:rsidRPr="00415955" w:rsidRDefault="0087332D" w:rsidP="00923A66">
      <w:pPr>
        <w:pStyle w:val="Bulletleft"/>
      </w:pPr>
      <w:r w:rsidRPr="00415955">
        <w:t xml:space="preserve">Kevin Davis, Emeritus Professor, University of Melbourne </w:t>
      </w:r>
    </w:p>
    <w:p w14:paraId="791AE82E" w14:textId="51E99EDC" w:rsidR="0087332D" w:rsidRPr="00415955" w:rsidRDefault="7887F6FD" w:rsidP="00923A66">
      <w:pPr>
        <w:pStyle w:val="Bulletleft"/>
      </w:pPr>
      <w:r w:rsidRPr="00415955">
        <w:t>Carole Comerton</w:t>
      </w:r>
      <w:r w:rsidR="00EF40B0">
        <w:noBreakHyphen/>
      </w:r>
      <w:r w:rsidRPr="00415955">
        <w:t>Forde, Professor, University of Melbourne</w:t>
      </w:r>
    </w:p>
    <w:p w14:paraId="184A2918" w14:textId="77777777" w:rsidR="0087332D" w:rsidRPr="00415955" w:rsidRDefault="0087332D" w:rsidP="00923A66">
      <w:pPr>
        <w:pStyle w:val="Bulletleft"/>
      </w:pPr>
      <w:r w:rsidRPr="00415955">
        <w:t>Andrew Grant, Senior Lecturer, University of Sydney</w:t>
      </w:r>
    </w:p>
    <w:p w14:paraId="70174546" w14:textId="595FBACE" w:rsidR="0087332D" w:rsidRPr="00415955" w:rsidRDefault="0087332D" w:rsidP="00923A66">
      <w:pPr>
        <w:pStyle w:val="Bulletleft"/>
      </w:pPr>
      <w:r>
        <w:t>Carsten Murawski, Professor, University of Melbourne</w:t>
      </w:r>
    </w:p>
    <w:p w14:paraId="47C97A2D" w14:textId="77777777" w:rsidR="0087332D" w:rsidRPr="00415955" w:rsidRDefault="0087332D" w:rsidP="00923A66">
      <w:pPr>
        <w:pStyle w:val="Bulletleft"/>
      </w:pPr>
      <w:r w:rsidRPr="00415955">
        <w:t>Ian Ramsay, Redmond Barry Distinguished Professor Emeritus, University of Melbourne</w:t>
      </w:r>
    </w:p>
    <w:p w14:paraId="1760F1FB" w14:textId="7BBC9AE0" w:rsidR="0087332D" w:rsidRPr="00415955" w:rsidRDefault="0087332D" w:rsidP="00923A66">
      <w:pPr>
        <w:pStyle w:val="Bulletleft"/>
      </w:pPr>
      <w:r w:rsidRPr="00415955">
        <w:t>Michael Taylor, Managing Director, Moody</w:t>
      </w:r>
      <w:r w:rsidR="00EF40B0">
        <w:t>’</w:t>
      </w:r>
      <w:r w:rsidRPr="00415955">
        <w:t xml:space="preserve">s Investors Services </w:t>
      </w:r>
    </w:p>
    <w:p w14:paraId="7D2FF7A8" w14:textId="77777777" w:rsidR="0087332D" w:rsidRPr="00415955" w:rsidRDefault="0087332D" w:rsidP="00923A66">
      <w:pPr>
        <w:pStyle w:val="Bulletleft"/>
      </w:pPr>
      <w:r w:rsidRPr="00415955">
        <w:t>Eliza Wu, Associate Professor, University of Sydney</w:t>
      </w:r>
    </w:p>
    <w:p w14:paraId="343CE131" w14:textId="77777777" w:rsidR="0087332D" w:rsidRDefault="0087332D" w:rsidP="0087332D">
      <w:pPr>
        <w:rPr>
          <w:color w:val="003379"/>
          <w:sz w:val="24"/>
          <w:szCs w:val="24"/>
        </w:rPr>
        <w:sectPr w:rsidR="0087332D" w:rsidSect="00375F4C">
          <w:type w:val="continuous"/>
          <w:pgSz w:w="11906" w:h="16838"/>
          <w:pgMar w:top="1440" w:right="1440" w:bottom="1440" w:left="1440" w:header="708" w:footer="708" w:gutter="0"/>
          <w:cols w:num="2" w:space="708"/>
          <w:docGrid w:linePitch="360"/>
        </w:sectPr>
      </w:pPr>
    </w:p>
    <w:p w14:paraId="1E97E3B4" w14:textId="77777777" w:rsidR="0087332D" w:rsidRPr="00B56779" w:rsidRDefault="0087332D" w:rsidP="003440A8">
      <w:pPr>
        <w:pStyle w:val="Heading3"/>
      </w:pPr>
      <w:r w:rsidRPr="00EF6500">
        <w:t>Survey of external stakeholders</w:t>
      </w:r>
    </w:p>
    <w:p w14:paraId="44072E22" w14:textId="2FADF2B0" w:rsidR="0087332D" w:rsidRDefault="0087332D" w:rsidP="00415955">
      <w:pPr>
        <w:rPr>
          <w:rFonts w:cstheme="minorHAnsi"/>
          <w:noProof/>
          <w:kern w:val="32"/>
          <w:szCs w:val="18"/>
        </w:rPr>
      </w:pPr>
      <w:r w:rsidRPr="003D005B">
        <w:t xml:space="preserve">The FRAA conducted a survey of </w:t>
      </w:r>
      <w:r>
        <w:t>ASIC</w:t>
      </w:r>
      <w:r w:rsidR="00EF40B0">
        <w:t>’</w:t>
      </w:r>
      <w:r>
        <w:t xml:space="preserve">s external </w:t>
      </w:r>
      <w:r w:rsidRPr="003D005B">
        <w:t xml:space="preserve">stakeholders during the period between 24 February 2022 and 11 March 2022. The survey had 37 questions requiring respondents to choose from a scale of strongly agree to strongly disagree and </w:t>
      </w:r>
      <w:r>
        <w:t>6</w:t>
      </w:r>
      <w:r w:rsidRPr="003D005B">
        <w:t xml:space="preserve"> free</w:t>
      </w:r>
      <w:r w:rsidR="00EF40B0">
        <w:noBreakHyphen/>
      </w:r>
      <w:r w:rsidRPr="003D005B">
        <w:t xml:space="preserve">text questions. Free text questions asked stakeholders to </w:t>
      </w:r>
      <w:r>
        <w:t xml:space="preserve">provide their views on what ASIC does well and what </w:t>
      </w:r>
      <w:r w:rsidRPr="003D005B">
        <w:t xml:space="preserve">improvements </w:t>
      </w:r>
      <w:r>
        <w:t>it could make, i</w:t>
      </w:r>
      <w:r w:rsidRPr="003D005B">
        <w:t xml:space="preserve">n the </w:t>
      </w:r>
      <w:r>
        <w:t xml:space="preserve">3 </w:t>
      </w:r>
      <w:r w:rsidRPr="003D005B">
        <w:t xml:space="preserve">scope areas </w:t>
      </w:r>
      <w:r>
        <w:t xml:space="preserve">of this </w:t>
      </w:r>
      <w:r w:rsidR="00E26E12">
        <w:t>r</w:t>
      </w:r>
      <w:r>
        <w:t>eview</w:t>
      </w:r>
      <w:r w:rsidRPr="003D005B">
        <w:t>.</w:t>
      </w:r>
      <w:r>
        <w:rPr>
          <w:rFonts w:cstheme="minorHAnsi"/>
          <w:noProof/>
          <w:kern w:val="32"/>
          <w:szCs w:val="18"/>
        </w:rPr>
        <w:t xml:space="preserve"> </w:t>
      </w:r>
    </w:p>
    <w:p w14:paraId="62819B9A" w14:textId="184059F2" w:rsidR="0087332D" w:rsidRDefault="0087332D" w:rsidP="0087332D">
      <w:pPr>
        <w:sectPr w:rsidR="0087332D" w:rsidSect="00375F4C">
          <w:type w:val="continuous"/>
          <w:pgSz w:w="11906" w:h="16838"/>
          <w:pgMar w:top="1440" w:right="1440" w:bottom="1440" w:left="1440" w:header="708" w:footer="708" w:gutter="0"/>
          <w:cols w:space="708"/>
          <w:docGrid w:linePitch="360"/>
        </w:sectPr>
      </w:pPr>
      <w:r>
        <w:rPr>
          <w:rFonts w:cstheme="minorHAnsi"/>
          <w:noProof/>
          <w:kern w:val="32"/>
          <w:szCs w:val="18"/>
        </w:rPr>
        <w:t>The FRAA sent the survey to 34 financial institutions, corporations</w:t>
      </w:r>
      <w:r w:rsidR="00905DA8">
        <w:rPr>
          <w:rFonts w:cstheme="minorHAnsi"/>
          <w:noProof/>
          <w:kern w:val="32"/>
          <w:szCs w:val="18"/>
        </w:rPr>
        <w:t>, consumer advocacy bodies</w:t>
      </w:r>
      <w:r>
        <w:rPr>
          <w:rFonts w:cstheme="minorHAnsi"/>
          <w:noProof/>
          <w:kern w:val="32"/>
          <w:szCs w:val="18"/>
        </w:rPr>
        <w:t xml:space="preserve"> and 14 industry bodies (outlined below) </w:t>
      </w:r>
      <w:r w:rsidR="00E5538C">
        <w:rPr>
          <w:rFonts w:cstheme="minorHAnsi"/>
          <w:noProof/>
          <w:kern w:val="32"/>
          <w:szCs w:val="18"/>
        </w:rPr>
        <w:t xml:space="preserve">who </w:t>
      </w:r>
      <w:r>
        <w:rPr>
          <w:rFonts w:cstheme="minorHAnsi"/>
          <w:noProof/>
          <w:kern w:val="32"/>
          <w:szCs w:val="18"/>
        </w:rPr>
        <w:t xml:space="preserve">distributed the survey to their members. </w:t>
      </w:r>
    </w:p>
    <w:p w14:paraId="213B4734" w14:textId="77777777" w:rsidR="0087332D" w:rsidRPr="00415955" w:rsidRDefault="0087332D" w:rsidP="00923A66">
      <w:pPr>
        <w:pStyle w:val="Bulletleft"/>
      </w:pPr>
      <w:r w:rsidRPr="00415955">
        <w:t>Australian Banking Association</w:t>
      </w:r>
    </w:p>
    <w:p w14:paraId="7A274AB6" w14:textId="77777777" w:rsidR="0087332D" w:rsidRPr="00415955" w:rsidRDefault="0087332D" w:rsidP="00923A66">
      <w:pPr>
        <w:pStyle w:val="Bulletleft"/>
      </w:pPr>
      <w:r w:rsidRPr="00415955">
        <w:t>Australian Finance Industry Association</w:t>
      </w:r>
    </w:p>
    <w:p w14:paraId="506A2A7E" w14:textId="77777777" w:rsidR="0087332D" w:rsidRPr="00415955" w:rsidRDefault="0087332D" w:rsidP="00923A66">
      <w:pPr>
        <w:pStyle w:val="Bulletleft"/>
      </w:pPr>
      <w:r w:rsidRPr="00415955">
        <w:t>Australian Financial Markets Association</w:t>
      </w:r>
    </w:p>
    <w:p w14:paraId="13ECFFB7" w14:textId="77777777" w:rsidR="0087332D" w:rsidRPr="00415955" w:rsidRDefault="0087332D" w:rsidP="00923A66">
      <w:pPr>
        <w:pStyle w:val="Bulletleft"/>
      </w:pPr>
      <w:r w:rsidRPr="00415955">
        <w:t>Australian Restructuring Insolvency and Turnaround Association</w:t>
      </w:r>
    </w:p>
    <w:p w14:paraId="061ABE17" w14:textId="77777777" w:rsidR="0087332D" w:rsidRPr="00415955" w:rsidRDefault="0087332D" w:rsidP="00923A66">
      <w:pPr>
        <w:pStyle w:val="Bulletleft"/>
      </w:pPr>
      <w:r w:rsidRPr="00415955">
        <w:t>The Association of Superannuation Funds of Australia</w:t>
      </w:r>
    </w:p>
    <w:p w14:paraId="4AFB2B15" w14:textId="77777777" w:rsidR="0087332D" w:rsidRPr="00415955" w:rsidRDefault="0087332D" w:rsidP="00923A66">
      <w:pPr>
        <w:pStyle w:val="Bulletleft"/>
      </w:pPr>
      <w:r w:rsidRPr="00415955">
        <w:t>Business Council of Australia</w:t>
      </w:r>
    </w:p>
    <w:p w14:paraId="20B09D59" w14:textId="77777777" w:rsidR="0087332D" w:rsidRPr="00415955" w:rsidRDefault="0087332D" w:rsidP="00923A66">
      <w:pPr>
        <w:pStyle w:val="Bulletleft"/>
      </w:pPr>
      <w:r w:rsidRPr="00415955">
        <w:t>Certified Practising Accountants</w:t>
      </w:r>
      <w:r w:rsidRPr="00415955">
        <w:rPr>
          <w:rFonts w:eastAsiaTheme="minorHAnsi"/>
        </w:rPr>
        <w:t xml:space="preserve"> </w:t>
      </w:r>
      <w:r w:rsidRPr="00415955">
        <w:t>Australia</w:t>
      </w:r>
    </w:p>
    <w:p w14:paraId="32911535" w14:textId="78CD7329" w:rsidR="0087332D" w:rsidRPr="00415955" w:rsidRDefault="0087332D" w:rsidP="00923A66">
      <w:pPr>
        <w:pStyle w:val="Bulletleft"/>
      </w:pPr>
      <w:r w:rsidRPr="00415955">
        <w:t>Chartered Accountants Australia &amp; New</w:t>
      </w:r>
      <w:r w:rsidR="00AC2839">
        <w:t> </w:t>
      </w:r>
      <w:r w:rsidRPr="00415955">
        <w:t>Zealand</w:t>
      </w:r>
    </w:p>
    <w:p w14:paraId="02E75CBD" w14:textId="77777777" w:rsidR="0087332D" w:rsidRPr="00415955" w:rsidRDefault="0087332D" w:rsidP="00923A66">
      <w:pPr>
        <w:pStyle w:val="Bulletleft"/>
      </w:pPr>
      <w:r w:rsidRPr="00415955">
        <w:t>Customer Owned Banking Association</w:t>
      </w:r>
    </w:p>
    <w:p w14:paraId="00DD60E8" w14:textId="77777777" w:rsidR="0087332D" w:rsidRPr="00415955" w:rsidRDefault="0087332D" w:rsidP="00923A66">
      <w:pPr>
        <w:pStyle w:val="Bulletleft"/>
      </w:pPr>
      <w:r w:rsidRPr="00415955">
        <w:t>Financial Planning Association of Australia</w:t>
      </w:r>
    </w:p>
    <w:p w14:paraId="47DB5822" w14:textId="77777777" w:rsidR="0087332D" w:rsidRPr="00415955" w:rsidRDefault="0087332D" w:rsidP="00923A66">
      <w:pPr>
        <w:pStyle w:val="Bulletleft"/>
      </w:pPr>
      <w:r w:rsidRPr="00415955">
        <w:t>Financial Services Council</w:t>
      </w:r>
    </w:p>
    <w:p w14:paraId="44D0F580" w14:textId="77777777" w:rsidR="0087332D" w:rsidRPr="00415955" w:rsidRDefault="0087332D" w:rsidP="00923A66">
      <w:pPr>
        <w:pStyle w:val="Bulletleft"/>
      </w:pPr>
      <w:r w:rsidRPr="00415955">
        <w:t xml:space="preserve">Fintech Australia </w:t>
      </w:r>
    </w:p>
    <w:p w14:paraId="1F66FE7A" w14:textId="77777777" w:rsidR="0087332D" w:rsidRPr="00415955" w:rsidRDefault="0087332D" w:rsidP="00923A66">
      <w:pPr>
        <w:pStyle w:val="Bulletleft"/>
      </w:pPr>
      <w:r w:rsidRPr="00415955">
        <w:t>Insurance Council of Australia</w:t>
      </w:r>
    </w:p>
    <w:p w14:paraId="4D3D5307" w14:textId="77777777" w:rsidR="0087332D" w:rsidRPr="00415955" w:rsidRDefault="0087332D" w:rsidP="00923A66">
      <w:pPr>
        <w:pStyle w:val="Bulletleft"/>
      </w:pPr>
      <w:r w:rsidRPr="00415955">
        <w:t>Mortgage &amp; Finance Association of Australia</w:t>
      </w:r>
    </w:p>
    <w:p w14:paraId="44A72309" w14:textId="77777777" w:rsidR="0087332D" w:rsidRPr="003B3082" w:rsidRDefault="0087332D" w:rsidP="00975036">
      <w:pPr>
        <w:pStyle w:val="Bullet"/>
        <w:numPr>
          <w:ilvl w:val="0"/>
          <w:numId w:val="3"/>
        </w:numPr>
        <w:sectPr w:rsidR="0087332D" w:rsidRPr="003B3082" w:rsidSect="00375F4C">
          <w:type w:val="continuous"/>
          <w:pgSz w:w="11906" w:h="16838"/>
          <w:pgMar w:top="1440" w:right="1440" w:bottom="1440" w:left="1440" w:header="708" w:footer="708" w:gutter="0"/>
          <w:cols w:num="2" w:space="708"/>
          <w:docGrid w:linePitch="360"/>
        </w:sectPr>
      </w:pPr>
    </w:p>
    <w:p w14:paraId="5AF7F4E6" w14:textId="3362835F" w:rsidR="0087332D" w:rsidRDefault="0087332D" w:rsidP="0087332D">
      <w:pPr>
        <w:rPr>
          <w:kern w:val="32"/>
        </w:rPr>
      </w:pPr>
      <w:r w:rsidRPr="38B8A058">
        <w:t xml:space="preserve">There were 82 </w:t>
      </w:r>
      <w:r w:rsidRPr="38B8A058">
        <w:rPr>
          <w:kern w:val="32"/>
        </w:rPr>
        <w:t xml:space="preserve">respondents to the external stakeholder survey. </w:t>
      </w:r>
      <w:r w:rsidR="00844E31">
        <w:rPr>
          <w:kern w:val="32"/>
        </w:rPr>
        <w:t>The respondents to the external stakeholder survey represent a subset of ASIC</w:t>
      </w:r>
      <w:r w:rsidR="00EF40B0">
        <w:rPr>
          <w:kern w:val="32"/>
        </w:rPr>
        <w:t>’</w:t>
      </w:r>
      <w:r w:rsidR="00844E31">
        <w:rPr>
          <w:kern w:val="32"/>
        </w:rPr>
        <w:t>s regulated population.</w:t>
      </w:r>
      <w:r w:rsidR="002D4A9D">
        <w:rPr>
          <w:kern w:val="32"/>
        </w:rPr>
        <w:t xml:space="preserve"> </w:t>
      </w:r>
      <w:r w:rsidRPr="38B8A058">
        <w:rPr>
          <w:kern w:val="32"/>
        </w:rPr>
        <w:t>Figure</w:t>
      </w:r>
      <w:r w:rsidRPr="38B8A058">
        <w:t>s</w:t>
      </w:r>
      <w:r w:rsidRPr="38B8A058">
        <w:rPr>
          <w:kern w:val="32"/>
        </w:rPr>
        <w:t xml:space="preserve"> 1 </w:t>
      </w:r>
      <w:r w:rsidRPr="38B8A058">
        <w:t xml:space="preserve">and </w:t>
      </w:r>
      <w:r w:rsidRPr="38B8A058">
        <w:rPr>
          <w:kern w:val="32"/>
        </w:rPr>
        <w:t>2</w:t>
      </w:r>
      <w:r w:rsidRPr="38B8A058">
        <w:t xml:space="preserve"> </w:t>
      </w:r>
      <w:r w:rsidRPr="38B8A058">
        <w:rPr>
          <w:kern w:val="32"/>
        </w:rPr>
        <w:t>show the respondents by sector</w:t>
      </w:r>
      <w:r w:rsidRPr="38B8A058">
        <w:t xml:space="preserve"> and size of organisation</w:t>
      </w:r>
      <w:r w:rsidRPr="38B8A058">
        <w:rPr>
          <w:kern w:val="32"/>
        </w:rPr>
        <w:t xml:space="preserve">. </w:t>
      </w:r>
      <w:r w:rsidR="002D4A9D">
        <w:rPr>
          <w:kern w:val="32"/>
        </w:rPr>
        <w:t>Further details of the respondents are outlined below:</w:t>
      </w:r>
    </w:p>
    <w:p w14:paraId="1615D800" w14:textId="491A094F" w:rsidR="00376270" w:rsidRDefault="00376270" w:rsidP="00923A66">
      <w:pPr>
        <w:pStyle w:val="Bulletleft"/>
      </w:pPr>
      <w:r>
        <w:t>15% had interacted with ASIC as part of a consultation process in setting out ASIC</w:t>
      </w:r>
      <w:r w:rsidR="00EF40B0">
        <w:t>’</w:t>
      </w:r>
      <w:r>
        <w:t>s strategic priorities</w:t>
      </w:r>
    </w:p>
    <w:p w14:paraId="4BCE6DD3" w14:textId="155B838C" w:rsidR="00376270" w:rsidRDefault="00376270" w:rsidP="00923A66">
      <w:pPr>
        <w:pStyle w:val="Bulletleft"/>
      </w:pPr>
      <w:r>
        <w:t xml:space="preserve">49% interacted with ASIC as part of a surveillance process </w:t>
      </w:r>
    </w:p>
    <w:p w14:paraId="749C06D4" w14:textId="4DAE1BE7" w:rsidR="002D4A9D" w:rsidRDefault="002D4A9D" w:rsidP="00923A66">
      <w:pPr>
        <w:pStyle w:val="Bulletleft"/>
      </w:pPr>
      <w:r>
        <w:t xml:space="preserve">44% had interacted with ASIC in relation to a licence application in the last 3 years </w:t>
      </w:r>
    </w:p>
    <w:p w14:paraId="01FE49BF" w14:textId="662C5462" w:rsidR="002D4A9D" w:rsidRDefault="002D4A9D" w:rsidP="00923A66">
      <w:pPr>
        <w:pStyle w:val="Bulletleft"/>
      </w:pPr>
      <w:r>
        <w:t xml:space="preserve">83% had previously interacted with ASIC for another reason in the last 3 years </w:t>
      </w:r>
    </w:p>
    <w:p w14:paraId="2C6B56C9" w14:textId="14033C70" w:rsidR="004077E2" w:rsidRDefault="004077E2" w:rsidP="004077E2">
      <w:pPr>
        <w:pStyle w:val="FigureMainHeading"/>
        <w:ind w:left="0"/>
        <w:rPr>
          <w:iCs/>
          <w:noProof/>
        </w:rPr>
      </w:pPr>
      <w:r w:rsidRPr="00CC57F7">
        <w:lastRenderedPageBreak/>
        <w:t xml:space="preserve">Figure 1: </w:t>
      </w:r>
      <w:r w:rsidR="00F23381">
        <w:t>N</w:t>
      </w:r>
      <w:r w:rsidRPr="00CC57F7">
        <w:t>umber of respondents to the external stakeholder survey by sector</w:t>
      </w:r>
    </w:p>
    <w:p w14:paraId="05C8143A" w14:textId="72B82498" w:rsidR="004077E2" w:rsidRDefault="004077E2" w:rsidP="004077E2">
      <w:pPr>
        <w:pStyle w:val="ChartGraphic"/>
        <w:spacing w:before="120"/>
        <w:ind w:left="0"/>
      </w:pPr>
      <w:r>
        <w:rPr>
          <w:noProof/>
        </w:rPr>
        <w:drawing>
          <wp:inline distT="0" distB="0" distL="0" distR="0" wp14:anchorId="7EB13910" wp14:editId="3861CD48">
            <wp:extent cx="5590540" cy="2646045"/>
            <wp:effectExtent l="0" t="0" r="0" b="1905"/>
            <wp:docPr id="84" name="Picture 84" descr="Alt text: Figure 1 is a pie chart showing the number of respondents to the external stakeholder survey by sector. The largest segment was financial advisers which had 26 respondents;  registered liquidators had 19 respondents; insurance had 8 respondents; audit had 5 respondents; credit and banking had 5 respondents; investment management had 3 respondents; superannuation had 3 respondents; market infrastructure had 2 respondents; consumer advocacy had 2 respondents; and there were 9 respondents that did not fit into any of these categ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lt text: Figure 1 is a pie chart showing the number of respondents to the external stakeholder survey by sector. The largest segment was financial advisers which had 26 respondents;  registered liquidators had 19 respondents; insurance had 8 respondents; audit had 5 respondents; credit and banking had 5 respondents; investment management had 3 respondents; superannuation had 3 respondents; market infrastructure had 2 respondents; consumer advocacy had 2 respondents; and there were 9 respondents that did not fit into any of these categories.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0540" cy="2646045"/>
                    </a:xfrm>
                    <a:prstGeom prst="rect">
                      <a:avLst/>
                    </a:prstGeom>
                    <a:noFill/>
                  </pic:spPr>
                </pic:pic>
              </a:graphicData>
            </a:graphic>
          </wp:inline>
        </w:drawing>
      </w:r>
    </w:p>
    <w:p w14:paraId="18ED210D" w14:textId="7289B61E" w:rsidR="00C37664" w:rsidRPr="00C37664" w:rsidRDefault="00C37664" w:rsidP="00C37664">
      <w:pPr>
        <w:pStyle w:val="Source"/>
        <w:ind w:left="0"/>
      </w:pPr>
      <w:r w:rsidRPr="00E6411A">
        <w:t xml:space="preserve">Source: </w:t>
      </w:r>
      <w:r>
        <w:t>Treasury, 2022.</w:t>
      </w:r>
    </w:p>
    <w:p w14:paraId="647E386B" w14:textId="2D22D952" w:rsidR="004077E2" w:rsidRDefault="004077E2" w:rsidP="004077E2">
      <w:pPr>
        <w:pStyle w:val="FigureMainHeading"/>
        <w:ind w:left="0"/>
        <w:rPr>
          <w:iCs/>
        </w:rPr>
      </w:pPr>
      <w:r w:rsidRPr="00CC57F7">
        <w:t>Figure 2: Organisation size of survey respondents based on number of FTE employees</w:t>
      </w:r>
    </w:p>
    <w:p w14:paraId="1D60D787" w14:textId="376472BF" w:rsidR="004077E2" w:rsidRPr="004077E2" w:rsidRDefault="004077E2" w:rsidP="004077E2">
      <w:pPr>
        <w:pStyle w:val="ChartGraphic"/>
        <w:ind w:left="0"/>
      </w:pPr>
      <w:r>
        <w:rPr>
          <w:noProof/>
        </w:rPr>
        <w:drawing>
          <wp:inline distT="0" distB="0" distL="0" distR="0" wp14:anchorId="2392E926" wp14:editId="7235E6BB">
            <wp:extent cx="5596890" cy="2639695"/>
            <wp:effectExtent l="0" t="0" r="0" b="8255"/>
            <wp:docPr id="85" name="Picture 85" descr="Alt text: Figure 2 displays a pie chart of survey respondents by organisation size, based on the number of FTE employees. The largest segment was organisations with less than 10 FTE which had 34 respondents; there were 19 organisations with 11-100 FTE; 9 organisations with 101-500 FTE; 4 organisations with 501-1,000 FTE; 8 organisations with 1,001-5,000 FTE; and 8 organisations with more than 5,000 F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lt text: Figure 2 displays a pie chart of survey respondents by organisation size, based on the number of FTE employees. The largest segment was organisations with less than 10 FTE which had 34 respondents; there were 19 organisations with 11-100 FTE; 9 organisations with 101-500 FTE; 4 organisations with 501-1,000 FTE; 8 organisations with 1,001-5,000 FTE; and 8 organisations with more than 5,000 FTE.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96890" cy="2639695"/>
                    </a:xfrm>
                    <a:prstGeom prst="rect">
                      <a:avLst/>
                    </a:prstGeom>
                    <a:noFill/>
                  </pic:spPr>
                </pic:pic>
              </a:graphicData>
            </a:graphic>
          </wp:inline>
        </w:drawing>
      </w:r>
    </w:p>
    <w:p w14:paraId="32CA75E4" w14:textId="64B38222" w:rsidR="0087332D" w:rsidRPr="00C37664" w:rsidRDefault="00C37664" w:rsidP="00C37664">
      <w:pPr>
        <w:pStyle w:val="Source"/>
        <w:ind w:left="0"/>
      </w:pPr>
      <w:r w:rsidRPr="00E6411A">
        <w:t xml:space="preserve">Source: </w:t>
      </w:r>
      <w:r>
        <w:t>Treasury, 2022.</w:t>
      </w:r>
    </w:p>
    <w:p w14:paraId="182739F2" w14:textId="00C10445" w:rsidR="0087332D" w:rsidRPr="009D5CF5" w:rsidRDefault="0087332D" w:rsidP="004077E2">
      <w:pPr>
        <w:pStyle w:val="Heading3"/>
      </w:pPr>
      <w:bookmarkStart w:id="159" w:name="_Toc108786475"/>
      <w:r w:rsidRPr="009D5CF5">
        <w:t>Information from ASIC</w:t>
      </w:r>
      <w:bookmarkEnd w:id="159"/>
      <w:r w:rsidRPr="009D5CF5">
        <w:t xml:space="preserve"> </w:t>
      </w:r>
    </w:p>
    <w:p w14:paraId="33E6B4B5" w14:textId="5D4D8FE5" w:rsidR="0087332D" w:rsidRPr="006D3523" w:rsidRDefault="0087332D" w:rsidP="004077E2">
      <w:pPr>
        <w:rPr>
          <w:rFonts w:cstheme="minorHAnsi"/>
        </w:rPr>
      </w:pPr>
      <w:r w:rsidRPr="5C921D63">
        <w:t>ASIC provided information</w:t>
      </w:r>
      <w:r w:rsidR="00D26FAD">
        <w:t>,</w:t>
      </w:r>
      <w:r w:rsidRPr="5C921D63">
        <w:t xml:space="preserve"> data</w:t>
      </w:r>
      <w:r w:rsidR="00D26FAD">
        <w:t xml:space="preserve"> and a self</w:t>
      </w:r>
      <w:r w:rsidR="00EF40B0">
        <w:noBreakHyphen/>
      </w:r>
      <w:r w:rsidR="00D26FAD">
        <w:t>assessment of its</w:t>
      </w:r>
      <w:r w:rsidR="00941745">
        <w:t xml:space="preserve"> effectiveness and capability in relation to the 3 areas of this </w:t>
      </w:r>
      <w:r w:rsidR="00E26E12">
        <w:t>r</w:t>
      </w:r>
      <w:r w:rsidR="00941745">
        <w:t>eview.</w:t>
      </w:r>
      <w:r w:rsidRPr="5C921D63">
        <w:t xml:space="preserve"> </w:t>
      </w:r>
    </w:p>
    <w:p w14:paraId="34AF5BA5" w14:textId="77777777" w:rsidR="0087332D" w:rsidRPr="006D3523" w:rsidRDefault="0087332D" w:rsidP="00B26CCD">
      <w:pPr>
        <w:pStyle w:val="Heading3"/>
        <w:rPr>
          <w:rFonts w:cstheme="minorHAnsi"/>
        </w:rPr>
      </w:pPr>
      <w:r w:rsidRPr="001D68A6">
        <w:t>Survey of ASIC staff</w:t>
      </w:r>
    </w:p>
    <w:p w14:paraId="465BA541" w14:textId="7EB849A2" w:rsidR="0087332D" w:rsidRDefault="0087332D" w:rsidP="004077E2">
      <w:pPr>
        <w:rPr>
          <w:rFonts w:cstheme="minorHAnsi"/>
        </w:rPr>
      </w:pPr>
      <w:r w:rsidRPr="5C921D63">
        <w:t>The</w:t>
      </w:r>
      <w:r>
        <w:t xml:space="preserve"> survey contained</w:t>
      </w:r>
      <w:r w:rsidRPr="5C921D63">
        <w:t xml:space="preserve"> 72 questions requiring respondents to choose from a scale of </w:t>
      </w:r>
      <w:r w:rsidR="00EF40B0">
        <w:t>‘</w:t>
      </w:r>
      <w:r w:rsidRPr="5C921D63">
        <w:t>strongly agree</w:t>
      </w:r>
      <w:r w:rsidR="00EF40B0">
        <w:t>’</w:t>
      </w:r>
      <w:r w:rsidRPr="5C921D63">
        <w:t xml:space="preserve"> to </w:t>
      </w:r>
      <w:r w:rsidR="00EF40B0">
        <w:t>‘</w:t>
      </w:r>
      <w:r w:rsidRPr="5C921D63">
        <w:t>strongly disagree</w:t>
      </w:r>
      <w:r w:rsidR="00EF40B0">
        <w:t>’</w:t>
      </w:r>
      <w:r w:rsidRPr="5C921D63">
        <w:t xml:space="preserve"> and 6 free</w:t>
      </w:r>
      <w:r w:rsidR="00EF40B0">
        <w:noBreakHyphen/>
      </w:r>
      <w:r w:rsidRPr="5C921D63">
        <w:t xml:space="preserve">text questions. </w:t>
      </w:r>
      <w:r w:rsidRPr="0075287A">
        <w:t>Free</w:t>
      </w:r>
      <w:r w:rsidR="00EF40B0">
        <w:noBreakHyphen/>
      </w:r>
      <w:r w:rsidRPr="5C921D63">
        <w:t xml:space="preserve">text questions asked </w:t>
      </w:r>
      <w:r w:rsidRPr="0075287A">
        <w:t>stakeholders</w:t>
      </w:r>
      <w:r w:rsidRPr="5C921D63">
        <w:t xml:space="preserve"> to </w:t>
      </w:r>
      <w:r w:rsidRPr="0075287A">
        <w:t>provide their views</w:t>
      </w:r>
      <w:r w:rsidRPr="5C921D63">
        <w:t xml:space="preserve"> on </w:t>
      </w:r>
      <w:r w:rsidRPr="0075287A">
        <w:t xml:space="preserve">what ASIC does well and what </w:t>
      </w:r>
      <w:r w:rsidRPr="5C921D63">
        <w:t xml:space="preserve">improvements </w:t>
      </w:r>
      <w:r w:rsidRPr="0075287A">
        <w:t>it could make</w:t>
      </w:r>
      <w:r>
        <w:t xml:space="preserve">. </w:t>
      </w:r>
      <w:r w:rsidRPr="5C921D63">
        <w:t>The survey questions covered each of the scope areas of th</w:t>
      </w:r>
      <w:r>
        <w:t>is</w:t>
      </w:r>
      <w:r w:rsidRPr="5C921D63">
        <w:t xml:space="preserve"> </w:t>
      </w:r>
      <w:r w:rsidR="00E26E12">
        <w:t>r</w:t>
      </w:r>
      <w:r w:rsidRPr="5C921D63">
        <w:t>eview, as well as data and technology. The survey had 806</w:t>
      </w:r>
      <w:r w:rsidR="00AE7E78">
        <w:t> </w:t>
      </w:r>
      <w:r w:rsidRPr="5C921D63">
        <w:t>responses, representing a 41</w:t>
      </w:r>
      <w:r w:rsidR="00BA33BD">
        <w:t>%</w:t>
      </w:r>
      <w:r w:rsidRPr="5C921D63" w:rsidDel="00BA33BD">
        <w:t xml:space="preserve"> </w:t>
      </w:r>
      <w:r w:rsidRPr="5C921D63">
        <w:t xml:space="preserve">response rate. </w:t>
      </w:r>
    </w:p>
    <w:p w14:paraId="4D40AA4C" w14:textId="77777777" w:rsidR="0087332D" w:rsidRPr="006D3523" w:rsidRDefault="0087332D" w:rsidP="00FF5AD4">
      <w:pPr>
        <w:pStyle w:val="Heading3"/>
      </w:pPr>
      <w:r w:rsidRPr="001D68A6">
        <w:lastRenderedPageBreak/>
        <w:t xml:space="preserve">ASIC interviews and focus groups </w:t>
      </w:r>
    </w:p>
    <w:p w14:paraId="44D20033" w14:textId="1CA26B9A" w:rsidR="0087332D" w:rsidRDefault="0087332D" w:rsidP="0087332D">
      <w:r>
        <w:t>The FRAA held meetings and interviews with individual ASIC commissioners and executive</w:t>
      </w:r>
      <w:r w:rsidR="00E11812">
        <w:t>s</w:t>
      </w:r>
      <w:r>
        <w:t xml:space="preserve"> and conducted 8 focus groups with ASIC</w:t>
      </w:r>
      <w:r w:rsidR="00EF40B0">
        <w:t>’</w:t>
      </w:r>
      <w:r>
        <w:t xml:space="preserve">s senior leaders. </w:t>
      </w:r>
    </w:p>
    <w:p w14:paraId="475E6F28" w14:textId="77777777" w:rsidR="0087332D" w:rsidRDefault="0087332D" w:rsidP="00FF5AD4">
      <w:pPr>
        <w:pStyle w:val="Heading4"/>
      </w:pPr>
      <w:r>
        <w:t>Commissioners</w:t>
      </w:r>
    </w:p>
    <w:p w14:paraId="0CDB2814" w14:textId="77777777" w:rsidR="0087332D" w:rsidRDefault="0087332D" w:rsidP="0087332D">
      <w:pPr>
        <w:pStyle w:val="Bullet"/>
        <w:numPr>
          <w:ilvl w:val="0"/>
          <w:numId w:val="0"/>
        </w:numPr>
        <w:spacing w:before="120"/>
        <w:sectPr w:rsidR="0087332D" w:rsidSect="00375F4C">
          <w:type w:val="continuous"/>
          <w:pgSz w:w="11906" w:h="16838"/>
          <w:pgMar w:top="1440" w:right="1440" w:bottom="1440" w:left="1440" w:header="708" w:footer="708" w:gutter="0"/>
          <w:cols w:space="708"/>
          <w:docGrid w:linePitch="360"/>
        </w:sectPr>
      </w:pPr>
    </w:p>
    <w:p w14:paraId="7FB58A45" w14:textId="77777777" w:rsidR="0087332D" w:rsidRPr="004077E2" w:rsidRDefault="0087332D" w:rsidP="00AC2839">
      <w:pPr>
        <w:pStyle w:val="Bulletleft"/>
      </w:pPr>
      <w:r w:rsidRPr="004077E2">
        <w:t>Karen Chester, Deputy Chair</w:t>
      </w:r>
    </w:p>
    <w:p w14:paraId="72868388" w14:textId="77777777" w:rsidR="0087332D" w:rsidRDefault="0087332D" w:rsidP="00AC2839">
      <w:pPr>
        <w:pStyle w:val="Bulletleft"/>
      </w:pPr>
      <w:r w:rsidRPr="004077E2">
        <w:t>Sarah Court, Deputy Chair</w:t>
      </w:r>
    </w:p>
    <w:p w14:paraId="7E1EFB7B" w14:textId="77777777" w:rsidR="001C3A18" w:rsidRPr="004077E2" w:rsidRDefault="001C3A18" w:rsidP="00AC2839">
      <w:pPr>
        <w:pStyle w:val="Bulletleft"/>
      </w:pPr>
      <w:r w:rsidRPr="004077E2">
        <w:t>Cathie Armour, Commissioner</w:t>
      </w:r>
      <w:r>
        <w:rPr>
          <w:rStyle w:val="FootnoteReference"/>
        </w:rPr>
        <w:footnoteReference w:id="219"/>
      </w:r>
    </w:p>
    <w:p w14:paraId="2D70EC06" w14:textId="77777777" w:rsidR="0087332D" w:rsidRPr="004077E2" w:rsidRDefault="0087332D" w:rsidP="00AC2839">
      <w:pPr>
        <w:pStyle w:val="Bulletleft"/>
      </w:pPr>
      <w:r w:rsidRPr="004077E2">
        <w:t>Sean Hughes, Commissioner</w:t>
      </w:r>
    </w:p>
    <w:p w14:paraId="601B6025" w14:textId="77777777" w:rsidR="0087332D" w:rsidRPr="004077E2" w:rsidRDefault="0087332D" w:rsidP="00AC2839">
      <w:pPr>
        <w:pStyle w:val="Bulletleft"/>
      </w:pPr>
      <w:r w:rsidRPr="004077E2">
        <w:t>Danielle Press, Commissioner</w:t>
      </w:r>
    </w:p>
    <w:p w14:paraId="15444D9A" w14:textId="77777777" w:rsidR="0087332D" w:rsidRDefault="0087332D" w:rsidP="0087332D">
      <w:pPr>
        <w:sectPr w:rsidR="0087332D" w:rsidSect="00ED76DF">
          <w:type w:val="continuous"/>
          <w:pgSz w:w="11906" w:h="16838"/>
          <w:pgMar w:top="1440" w:right="1440" w:bottom="1440" w:left="1440" w:header="708" w:footer="708" w:gutter="0"/>
          <w:cols w:num="2" w:space="708"/>
          <w:docGrid w:linePitch="360"/>
          <w15:footnoteColumns w:val="1"/>
        </w:sectPr>
      </w:pPr>
    </w:p>
    <w:p w14:paraId="7861BE78" w14:textId="3DAE6766" w:rsidR="0087332D" w:rsidRDefault="0087332D" w:rsidP="00FF5AD4">
      <w:pPr>
        <w:pStyle w:val="Heading4"/>
      </w:pPr>
      <w:r w:rsidRPr="3B553944">
        <w:t xml:space="preserve">ASIC </w:t>
      </w:r>
      <w:r>
        <w:t>e</w:t>
      </w:r>
      <w:r w:rsidRPr="3B553944">
        <w:t xml:space="preserve">xecutives </w:t>
      </w:r>
    </w:p>
    <w:p w14:paraId="58D50444" w14:textId="77777777" w:rsidR="0087332D" w:rsidRDefault="0087332D" w:rsidP="00975036">
      <w:pPr>
        <w:pStyle w:val="Bullet"/>
        <w:numPr>
          <w:ilvl w:val="0"/>
          <w:numId w:val="3"/>
        </w:numPr>
        <w:spacing w:before="120"/>
        <w:sectPr w:rsidR="0087332D" w:rsidSect="00375F4C">
          <w:type w:val="continuous"/>
          <w:pgSz w:w="11906" w:h="16838"/>
          <w:pgMar w:top="1440" w:right="1440" w:bottom="1440" w:left="1440" w:header="708" w:footer="708" w:gutter="0"/>
          <w:cols w:space="708"/>
          <w:docGrid w:linePitch="360"/>
        </w:sectPr>
      </w:pPr>
    </w:p>
    <w:p w14:paraId="7F119C83" w14:textId="77777777" w:rsidR="0087332D" w:rsidRPr="004077E2" w:rsidRDefault="0087332D" w:rsidP="00AC2839">
      <w:pPr>
        <w:pStyle w:val="Bulletleft"/>
      </w:pPr>
      <w:r>
        <w:t>Scott Barber, Chief Data and Analytics Officer</w:t>
      </w:r>
    </w:p>
    <w:p w14:paraId="61AE3870" w14:textId="77777777" w:rsidR="0087332D" w:rsidRPr="004077E2" w:rsidRDefault="0087332D" w:rsidP="00AC2839">
      <w:pPr>
        <w:pStyle w:val="Bulletleft"/>
      </w:pPr>
      <w:r w:rsidRPr="004077E2">
        <w:t xml:space="preserve">Joanna Bird, Executive Director, Financial Services and Wealth </w:t>
      </w:r>
    </w:p>
    <w:p w14:paraId="73B7FB6C" w14:textId="77777777" w:rsidR="0087332D" w:rsidRPr="004077E2" w:rsidRDefault="0087332D" w:rsidP="00AC2839">
      <w:pPr>
        <w:pStyle w:val="Bulletleft"/>
      </w:pPr>
      <w:r w:rsidRPr="004077E2">
        <w:t>Warren Day, Chief Operating Officer</w:t>
      </w:r>
    </w:p>
    <w:p w14:paraId="74355D29" w14:textId="77777777" w:rsidR="0087332D" w:rsidRPr="004077E2" w:rsidRDefault="0087332D" w:rsidP="00AC2839">
      <w:pPr>
        <w:pStyle w:val="Bulletleft"/>
      </w:pPr>
      <w:r w:rsidRPr="004077E2">
        <w:t xml:space="preserve">Zack Gurdon, Chief Risk Officer </w:t>
      </w:r>
    </w:p>
    <w:p w14:paraId="3E43E2B5" w14:textId="77777777" w:rsidR="0087332D" w:rsidRPr="004077E2" w:rsidRDefault="0087332D" w:rsidP="00AC2839">
      <w:pPr>
        <w:pStyle w:val="Bulletleft"/>
      </w:pPr>
      <w:r w:rsidRPr="004077E2">
        <w:t>Zak Hammer, Executive Director, Operations</w:t>
      </w:r>
    </w:p>
    <w:p w14:paraId="4D5D1A7C" w14:textId="77777777" w:rsidR="0087332D" w:rsidRPr="004077E2" w:rsidRDefault="0087332D" w:rsidP="00AC2839">
      <w:pPr>
        <w:pStyle w:val="Bulletleft"/>
      </w:pPr>
      <w:r w:rsidRPr="004077E2">
        <w:t>Greg Kirk, Executive Director, Strategy</w:t>
      </w:r>
    </w:p>
    <w:p w14:paraId="07CDF3FF" w14:textId="77777777" w:rsidR="0087332D" w:rsidRPr="004077E2" w:rsidRDefault="0087332D" w:rsidP="00AC2839">
      <w:pPr>
        <w:pStyle w:val="Bulletleft"/>
      </w:pPr>
      <w:r w:rsidRPr="004077E2">
        <w:t>Louise Macaulay, Chief of Staff</w:t>
      </w:r>
    </w:p>
    <w:p w14:paraId="0316352A" w14:textId="77777777" w:rsidR="0087332D" w:rsidRDefault="0087332D" w:rsidP="00AC2839">
      <w:pPr>
        <w:pStyle w:val="Bulletleft"/>
        <w:sectPr w:rsidR="0087332D" w:rsidSect="00375F4C">
          <w:type w:val="continuous"/>
          <w:pgSz w:w="11906" w:h="16838"/>
          <w:pgMar w:top="1440" w:right="1440" w:bottom="1440" w:left="1440" w:header="708" w:footer="708" w:gutter="0"/>
          <w:cols w:num="2" w:space="708"/>
          <w:docGrid w:linePitch="360"/>
        </w:sectPr>
      </w:pPr>
      <w:r w:rsidRPr="004077E2">
        <w:t>Greg Yanco, Executive Director</w:t>
      </w:r>
      <w:r>
        <w:t>, Markets</w:t>
      </w:r>
    </w:p>
    <w:p w14:paraId="0602303A" w14:textId="77777777" w:rsidR="0087332D" w:rsidRDefault="0087332D" w:rsidP="00FF5AD4">
      <w:pPr>
        <w:pStyle w:val="Heading4"/>
      </w:pPr>
      <w:r>
        <w:t>Focus groups</w:t>
      </w:r>
    </w:p>
    <w:p w14:paraId="1D00DBBE" w14:textId="77777777" w:rsidR="0087332D" w:rsidRDefault="0087332D" w:rsidP="00975036">
      <w:pPr>
        <w:pStyle w:val="Bullet"/>
        <w:numPr>
          <w:ilvl w:val="0"/>
          <w:numId w:val="3"/>
        </w:numPr>
        <w:spacing w:before="120"/>
        <w:sectPr w:rsidR="0087332D" w:rsidSect="00375F4C">
          <w:type w:val="continuous"/>
          <w:pgSz w:w="11906" w:h="16838"/>
          <w:pgMar w:top="1440" w:right="1440" w:bottom="1440" w:left="1440" w:header="708" w:footer="708" w:gutter="0"/>
          <w:cols w:space="708"/>
          <w:docGrid w:linePitch="360"/>
        </w:sectPr>
      </w:pPr>
    </w:p>
    <w:p w14:paraId="2B7E0F42" w14:textId="1637AD9E" w:rsidR="00BF514D" w:rsidRDefault="00BF514D" w:rsidP="00AC2839">
      <w:pPr>
        <w:pStyle w:val="Bulletleft"/>
      </w:pPr>
      <w:r>
        <w:t>Strategic prioritisation, planning and decision</w:t>
      </w:r>
      <w:r w:rsidR="00552559">
        <w:t>-</w:t>
      </w:r>
      <w:r>
        <w:t>making (Strategy Group), senior</w:t>
      </w:r>
      <w:r w:rsidR="00AC2839">
        <w:t> </w:t>
      </w:r>
      <w:r>
        <w:t>executive leaders</w:t>
      </w:r>
    </w:p>
    <w:p w14:paraId="3AD41753" w14:textId="77F1E74C" w:rsidR="00FE3279" w:rsidRDefault="00FE3279" w:rsidP="00AC2839">
      <w:pPr>
        <w:pStyle w:val="Bulletleft"/>
      </w:pPr>
      <w:r>
        <w:t>Strategic prioritisation, planning and decision</w:t>
      </w:r>
      <w:r w:rsidR="00552559">
        <w:t>-</w:t>
      </w:r>
      <w:r>
        <w:t>making</w:t>
      </w:r>
      <w:r w:rsidR="005C2AB9">
        <w:t xml:space="preserve"> (Strategy Group), senior specialists and senior managers</w:t>
      </w:r>
    </w:p>
    <w:p w14:paraId="0B7D5EE9" w14:textId="5E006D80" w:rsidR="001E75D5" w:rsidRDefault="002C289B" w:rsidP="00AC2839">
      <w:pPr>
        <w:pStyle w:val="Bulletleft"/>
      </w:pPr>
      <w:r>
        <w:t>Surveillance (</w:t>
      </w:r>
      <w:r w:rsidR="0087332D" w:rsidRPr="004077E2">
        <w:t xml:space="preserve">Financial Services and Wealth </w:t>
      </w:r>
      <w:r>
        <w:t xml:space="preserve">Group </w:t>
      </w:r>
      <w:r w:rsidR="0087332D" w:rsidRPr="004077E2">
        <w:t xml:space="preserve">and </w:t>
      </w:r>
      <w:r>
        <w:t>Operations Group</w:t>
      </w:r>
      <w:r w:rsidR="00EF40B0">
        <w:t xml:space="preserve"> – </w:t>
      </w:r>
      <w:r w:rsidR="0087332D" w:rsidRPr="004077E2">
        <w:t>Misconduct and Breach Reporting</w:t>
      </w:r>
      <w:r w:rsidR="00D16977">
        <w:t>)</w:t>
      </w:r>
      <w:r w:rsidR="0087332D" w:rsidRPr="004077E2">
        <w:t xml:space="preserve">, senior </w:t>
      </w:r>
      <w:r w:rsidR="00D16977">
        <w:t>specialists and senior managers</w:t>
      </w:r>
    </w:p>
    <w:p w14:paraId="44FADB1C" w14:textId="379E6D9D" w:rsidR="0087332D" w:rsidRPr="004077E2" w:rsidRDefault="001E75D5" w:rsidP="00AC2839">
      <w:pPr>
        <w:pStyle w:val="Bulletleft"/>
      </w:pPr>
      <w:r>
        <w:t>Surveillance (Markets Group), senior</w:t>
      </w:r>
      <w:r w:rsidR="00AC2839">
        <w:t> </w:t>
      </w:r>
      <w:r>
        <w:t>specialists and senior managers</w:t>
      </w:r>
      <w:r w:rsidR="0087332D" w:rsidRPr="004077E2">
        <w:t xml:space="preserve"> </w:t>
      </w:r>
    </w:p>
    <w:p w14:paraId="66B49C9F" w14:textId="73647CA2" w:rsidR="0087332D" w:rsidRPr="004077E2" w:rsidRDefault="00475668" w:rsidP="00AC2839">
      <w:pPr>
        <w:pStyle w:val="Bulletleft"/>
      </w:pPr>
      <w:r>
        <w:t>Licensing (</w:t>
      </w:r>
      <w:r w:rsidR="0087332D" w:rsidRPr="004077E2">
        <w:t xml:space="preserve">Financial Services and Wealth </w:t>
      </w:r>
      <w:r>
        <w:t>Group)</w:t>
      </w:r>
      <w:r w:rsidR="0035789C">
        <w:t>,</w:t>
      </w:r>
      <w:r w:rsidR="0087332D" w:rsidRPr="004077E2">
        <w:t xml:space="preserve"> senior specialists and senior managers </w:t>
      </w:r>
    </w:p>
    <w:p w14:paraId="39E96105" w14:textId="4BEE84C5" w:rsidR="0087332D" w:rsidRPr="004077E2" w:rsidRDefault="0087332D" w:rsidP="00AC2839">
      <w:pPr>
        <w:pStyle w:val="Bulletleft"/>
      </w:pPr>
      <w:r>
        <w:t>Licensing</w:t>
      </w:r>
      <w:r w:rsidR="0035789C">
        <w:t xml:space="preserve"> (Markets Group), senior executive leaders</w:t>
      </w:r>
      <w:r>
        <w:t>, senior specialists and senior managers</w:t>
      </w:r>
    </w:p>
    <w:p w14:paraId="18684B04" w14:textId="77777777" w:rsidR="0035789C" w:rsidRDefault="0035789C" w:rsidP="006433C7">
      <w:pPr>
        <w:sectPr w:rsidR="0035789C" w:rsidSect="00081347">
          <w:footerReference w:type="default" r:id="rId56"/>
          <w:type w:val="continuous"/>
          <w:pgSz w:w="11906" w:h="16838"/>
          <w:pgMar w:top="1440" w:right="1440" w:bottom="1440" w:left="1440" w:header="708" w:footer="708" w:gutter="0"/>
          <w:cols w:num="2" w:space="708"/>
          <w:docGrid w:linePitch="360"/>
        </w:sectPr>
      </w:pPr>
    </w:p>
    <w:p w14:paraId="15B2BBBE" w14:textId="77777777" w:rsidR="00675C44" w:rsidRPr="00AD1B55" w:rsidRDefault="00675C44" w:rsidP="006433C7"/>
    <w:p w14:paraId="2969C4B3" w14:textId="77777777" w:rsidR="00785D50" w:rsidRDefault="00785D50" w:rsidP="00785D50">
      <w:pPr>
        <w:pStyle w:val="Heading1"/>
        <w:spacing w:before="120"/>
        <w:sectPr w:rsidR="00785D50" w:rsidSect="00785D50">
          <w:type w:val="continuous"/>
          <w:pgSz w:w="11906" w:h="16838"/>
          <w:pgMar w:top="1440" w:right="1440" w:bottom="1440" w:left="1440" w:header="708" w:footer="708" w:gutter="0"/>
          <w:cols w:space="708"/>
          <w:docGrid w:linePitch="360"/>
        </w:sectPr>
      </w:pPr>
    </w:p>
    <w:p w14:paraId="59ABD1CE" w14:textId="5F4775FF" w:rsidR="00785D50" w:rsidRDefault="00785D50" w:rsidP="00785D50">
      <w:pPr>
        <w:pStyle w:val="Heading1"/>
        <w:spacing w:before="120"/>
      </w:pPr>
      <w:bookmarkStart w:id="160" w:name="_Toc110241846"/>
      <w:bookmarkStart w:id="161" w:name="_Ref110261739"/>
      <w:r w:rsidRPr="002E2968">
        <w:lastRenderedPageBreak/>
        <w:t xml:space="preserve">Appendix </w:t>
      </w:r>
      <w:r w:rsidR="003D186C">
        <w:t>B</w:t>
      </w:r>
      <w:r w:rsidRPr="002E2968">
        <w:t xml:space="preserve">: </w:t>
      </w:r>
      <w:r w:rsidR="0024790D">
        <w:t>Examples of international frameworks for measuring performance</w:t>
      </w:r>
      <w:bookmarkEnd w:id="160"/>
      <w:bookmarkEnd w:id="161"/>
    </w:p>
    <w:p w14:paraId="73218C9B" w14:textId="77777777" w:rsidR="00B22ABE" w:rsidRPr="00342E67" w:rsidRDefault="00B22ABE" w:rsidP="001D442C">
      <w:pPr>
        <w:pStyle w:val="Heading3"/>
      </w:pPr>
      <w:bookmarkStart w:id="162" w:name="_Toc109640403"/>
      <w:bookmarkStart w:id="163" w:name="_Toc109660586"/>
      <w:r w:rsidRPr="00342E67">
        <w:t>OECD Framework for Regulatory Policy Evaluation</w:t>
      </w:r>
      <w:bookmarkEnd w:id="162"/>
      <w:bookmarkEnd w:id="163"/>
      <w:r w:rsidRPr="00342E67">
        <w:t> </w:t>
      </w:r>
    </w:p>
    <w:p w14:paraId="691C0FC4" w14:textId="2DFA31CE" w:rsidR="00B22ABE" w:rsidRPr="00342E67" w:rsidRDefault="00B22ABE" w:rsidP="004077E2">
      <w:r w:rsidRPr="00342E67">
        <w:t>The OECD Measuring Regulatory Performance program aims to help OECD countries improve their regulatory quality</w:t>
      </w:r>
      <w:r w:rsidR="00520FEE">
        <w:t xml:space="preserve">. </w:t>
      </w:r>
      <w:r w:rsidR="001636E9">
        <w:t>The program</w:t>
      </w:r>
      <w:r w:rsidRPr="00342E67">
        <w:t xml:space="preserve"> has developed Indicators of Regulatory Policy and Governance to measure regulatory performance. </w:t>
      </w:r>
      <w:r>
        <w:t>The indicators</w:t>
      </w:r>
      <w:r w:rsidRPr="00342E67">
        <w:t xml:space="preserve"> aim to both use these metrics to improve regulatory practices and demonstrate how improvements to regulatory governance deliver actual benefits to business and citizens</w:t>
      </w:r>
      <w:r w:rsidR="001A1CBE">
        <w:t xml:space="preserve">. </w:t>
      </w:r>
    </w:p>
    <w:p w14:paraId="7495BCF9" w14:textId="77777777" w:rsidR="00B22ABE" w:rsidRPr="00342E67" w:rsidRDefault="00B22ABE" w:rsidP="006D262B">
      <w:pPr>
        <w:pStyle w:val="Heading3"/>
      </w:pPr>
      <w:bookmarkStart w:id="164" w:name="_Toc109640404"/>
      <w:bookmarkStart w:id="165" w:name="_Toc109660587"/>
      <w:r w:rsidRPr="00342E67">
        <w:t>Financial System Assessment Program</w:t>
      </w:r>
      <w:bookmarkEnd w:id="164"/>
      <w:bookmarkEnd w:id="165"/>
      <w:r w:rsidRPr="00342E67">
        <w:t xml:space="preserve"> </w:t>
      </w:r>
    </w:p>
    <w:p w14:paraId="6C7B83B5" w14:textId="396C754A" w:rsidR="0028568A" w:rsidRDefault="00B22ABE" w:rsidP="004077E2">
      <w:r w:rsidRPr="00342E67">
        <w:t xml:space="preserve">The G20 members have committed to assessment through the Financial Sector Assessment Program (FSAP) by the IMF every </w:t>
      </w:r>
      <w:r>
        <w:t>5</w:t>
      </w:r>
      <w:r w:rsidRPr="00342E67">
        <w:t xml:space="preserve"> years. The goal of FSAP assessments is twofold: </w:t>
      </w:r>
    </w:p>
    <w:p w14:paraId="77540E96" w14:textId="66FD1BC4" w:rsidR="0028568A" w:rsidRDefault="00B22ABE" w:rsidP="00AC2839">
      <w:pPr>
        <w:pStyle w:val="Bulletleft"/>
      </w:pPr>
      <w:r w:rsidRPr="00342E67">
        <w:t>to gauge the financial sector</w:t>
      </w:r>
      <w:r w:rsidR="00EF40B0">
        <w:t>’</w:t>
      </w:r>
      <w:r w:rsidRPr="00342E67">
        <w:t xml:space="preserve">s stability and soundness </w:t>
      </w:r>
    </w:p>
    <w:p w14:paraId="6928F4B0" w14:textId="0D533DDD" w:rsidR="0028568A" w:rsidRDefault="00B22ABE" w:rsidP="00AC2839">
      <w:pPr>
        <w:pStyle w:val="Bulletleft"/>
      </w:pPr>
      <w:r w:rsidRPr="00342E67">
        <w:t xml:space="preserve">assess its potential contribution to growth and development. </w:t>
      </w:r>
    </w:p>
    <w:p w14:paraId="2F7F9671" w14:textId="48DB0A0A" w:rsidR="00B22ABE" w:rsidRPr="00342E67" w:rsidRDefault="00B22ABE" w:rsidP="004077E2">
      <w:pPr>
        <w:rPr>
          <w:b/>
          <w:bCs/>
          <w:i/>
          <w:iCs/>
        </w:rPr>
      </w:pPr>
      <w:r>
        <w:t>FSAP</w:t>
      </w:r>
      <w:r w:rsidRPr="00342E67">
        <w:t xml:space="preserve"> assessment</w:t>
      </w:r>
      <w:r>
        <w:t>s</w:t>
      </w:r>
      <w:r w:rsidRPr="00342E67">
        <w:t xml:space="preserve"> include examining micro</w:t>
      </w:r>
      <w:r w:rsidR="00EF40B0">
        <w:noBreakHyphen/>
      </w:r>
      <w:r w:rsidRPr="00342E67">
        <w:t>prudential and macroprudential frameworks; the quality of bank and non</w:t>
      </w:r>
      <w:r w:rsidR="00EF40B0">
        <w:noBreakHyphen/>
      </w:r>
      <w:r w:rsidRPr="00342E67">
        <w:t>bank supervision and financial market infrastructure oversight; and the ability of central banks, regulators and supervisors, policymakers, backstops, and financial safety nets to respond effectively in case of systemic stress.</w:t>
      </w:r>
    </w:p>
    <w:p w14:paraId="4CBB3BCD" w14:textId="77777777" w:rsidR="00B22ABE" w:rsidRPr="00342E67" w:rsidRDefault="00B22ABE" w:rsidP="006D262B">
      <w:pPr>
        <w:pStyle w:val="Heading3"/>
      </w:pPr>
      <w:bookmarkStart w:id="166" w:name="_Toc109640405"/>
      <w:bookmarkStart w:id="167" w:name="_Toc109660588"/>
      <w:r w:rsidRPr="00342E67">
        <w:t>Financial Soundness Indicators</w:t>
      </w:r>
      <w:bookmarkEnd w:id="166"/>
      <w:bookmarkEnd w:id="167"/>
      <w:r w:rsidRPr="00342E67">
        <w:t xml:space="preserve"> </w:t>
      </w:r>
    </w:p>
    <w:p w14:paraId="45F1FDA4" w14:textId="1F41C01D" w:rsidR="00B22ABE" w:rsidRPr="00342E67" w:rsidRDefault="00B22ABE" w:rsidP="004077E2">
      <w:r w:rsidRPr="00342E67">
        <w:t>The IMF collects reporting on countries</w:t>
      </w:r>
      <w:r w:rsidR="00EF40B0">
        <w:t>’</w:t>
      </w:r>
      <w:r w:rsidRPr="00342E67">
        <w:t xml:space="preserve"> performance against the Financial Soundness Indicators (FSIs). The FSIs were created by the IMF to support international comparisons and support macroprudential analysis of the financial market.</w:t>
      </w:r>
    </w:p>
    <w:p w14:paraId="6F9C5212" w14:textId="6643AE0C" w:rsidR="00B22ABE" w:rsidRPr="00342E67" w:rsidRDefault="00B22ABE" w:rsidP="004077E2">
      <w:r w:rsidRPr="00342E67">
        <w:t xml:space="preserve">These indicators are composed of </w:t>
      </w:r>
      <w:r w:rsidR="008B2834">
        <w:t>2</w:t>
      </w:r>
      <w:r w:rsidR="008B2834" w:rsidRPr="00342E67">
        <w:t xml:space="preserve"> </w:t>
      </w:r>
      <w:r w:rsidRPr="00342E67">
        <w:t xml:space="preserve">parts: the </w:t>
      </w:r>
      <w:r w:rsidR="00EF40B0">
        <w:t>‘</w:t>
      </w:r>
      <w:r w:rsidRPr="00342E67">
        <w:t>core set</w:t>
      </w:r>
      <w:r w:rsidR="00EF40B0">
        <w:t>’</w:t>
      </w:r>
      <w:r w:rsidRPr="00342E67">
        <w:t xml:space="preserve">, which includes basic indicators for the banking sector and is compulsory for participating countries, and the </w:t>
      </w:r>
      <w:r w:rsidR="00EF40B0">
        <w:t>‘</w:t>
      </w:r>
      <w:r w:rsidRPr="00342E67">
        <w:t>encouraged set</w:t>
      </w:r>
      <w:r w:rsidR="00EF40B0">
        <w:t>’</w:t>
      </w:r>
      <w:r w:rsidRPr="00342E67">
        <w:t>, which includes additional supplementary indicators for the banking sector and selected indicators characterising other financial and non</w:t>
      </w:r>
      <w:r w:rsidR="00EF40B0">
        <w:noBreakHyphen/>
      </w:r>
      <w:r w:rsidRPr="00342E67">
        <w:t>financial institutions, households, market liquidity and the real estate market. </w:t>
      </w:r>
    </w:p>
    <w:p w14:paraId="5B05600B" w14:textId="07CB79C0" w:rsidR="00B22ABE" w:rsidRPr="00342E67" w:rsidRDefault="00B22ABE" w:rsidP="006D262B">
      <w:pPr>
        <w:pStyle w:val="Heading3"/>
        <w:rPr>
          <w:bCs/>
        </w:rPr>
      </w:pPr>
      <w:bookmarkStart w:id="168" w:name="_Toc109640406"/>
      <w:bookmarkStart w:id="169" w:name="_Toc109660589"/>
      <w:r w:rsidRPr="00342E67">
        <w:t>Basel Committee o</w:t>
      </w:r>
      <w:r w:rsidR="0071773B">
        <w:t>n</w:t>
      </w:r>
      <w:r w:rsidRPr="00342E67">
        <w:t xml:space="preserve"> Banking Supervision Regulatory Consistency Assessment Programme</w:t>
      </w:r>
      <w:bookmarkEnd w:id="168"/>
      <w:bookmarkEnd w:id="169"/>
    </w:p>
    <w:p w14:paraId="2F4CBBDA" w14:textId="30E3AAD2" w:rsidR="00B22ABE" w:rsidRPr="00B22ABE" w:rsidRDefault="00B22ABE" w:rsidP="009468E5">
      <w:pPr>
        <w:rPr>
          <w:rFonts w:eastAsia="Calibri"/>
        </w:rPr>
      </w:pPr>
      <w:r w:rsidRPr="00342E67">
        <w:t>The Basel Committee monitors the timely adoption of the Basel III regulations by its members, assesses their consistency with the Basel framework and examines the consistency of banks</w:t>
      </w:r>
      <w:r w:rsidR="00EF40B0">
        <w:t>’</w:t>
      </w:r>
      <w:r w:rsidRPr="00342E67">
        <w:t xml:space="preserve"> calculation of the prudential ratios across jurisdictions. The Regulatory Consistency Assessment Programme also helps member jurisdictions to identify and assess the materiality of any deviations from the Basel framework.</w:t>
      </w:r>
      <w:r w:rsidR="009468E5" w:rsidRPr="00B22ABE">
        <w:rPr>
          <w:rFonts w:eastAsia="Calibri"/>
        </w:rPr>
        <w:t xml:space="preserve"> </w:t>
      </w:r>
    </w:p>
    <w:sectPr w:rsidR="00B22ABE" w:rsidRPr="00B22ABE" w:rsidSect="00526D0C">
      <w:type w:val="oddPage"/>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FD293" w14:textId="77777777" w:rsidR="00A9650B" w:rsidRDefault="00A9650B">
      <w:pPr>
        <w:spacing w:before="0" w:after="0"/>
      </w:pPr>
      <w:r>
        <w:separator/>
      </w:r>
    </w:p>
  </w:endnote>
  <w:endnote w:type="continuationSeparator" w:id="0">
    <w:p w14:paraId="00B7492B" w14:textId="77777777" w:rsidR="00A9650B" w:rsidRDefault="00A9650B">
      <w:pPr>
        <w:spacing w:before="0" w:after="0"/>
      </w:pPr>
      <w:r>
        <w:continuationSeparator/>
      </w:r>
    </w:p>
  </w:endnote>
  <w:endnote w:type="continuationNotice" w:id="1">
    <w:p w14:paraId="1DF4ADEA" w14:textId="77777777" w:rsidR="00A9650B" w:rsidRDefault="00A9650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8FDD4" w14:textId="65DBEDAF" w:rsidR="004C0BA7" w:rsidRPr="00F559D9" w:rsidRDefault="00F559D9" w:rsidP="00F559D9">
    <w:pPr>
      <w:pStyle w:val="FooterOdd"/>
    </w:pPr>
    <w:r w:rsidRPr="00F60198">
      <w:fldChar w:fldCharType="begin"/>
    </w:r>
    <w:r w:rsidRPr="00F60198">
      <w:instrText xml:space="preserve"> PAGE   \* MERGEFORMAT </w:instrText>
    </w:r>
    <w:r w:rsidRPr="00F60198">
      <w:fldChar w:fldCharType="separate"/>
    </w:r>
    <w:r>
      <w:t>1</w:t>
    </w:r>
    <w:r w:rsidRPr="00F60198">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5547180"/>
      <w:docPartObj>
        <w:docPartGallery w:val="Page Numbers (Bottom of Page)"/>
        <w:docPartUnique/>
      </w:docPartObj>
    </w:sdtPr>
    <w:sdtEndPr>
      <w:rPr>
        <w:noProof/>
      </w:rPr>
    </w:sdtEndPr>
    <w:sdtContent>
      <w:p w14:paraId="199A4016" w14:textId="77777777" w:rsidR="0087332D" w:rsidRDefault="008733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995BDE" w14:textId="77777777" w:rsidR="0087332D" w:rsidRDefault="0087332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827103"/>
      <w:docPartObj>
        <w:docPartGallery w:val="Page Numbers (Bottom of Page)"/>
        <w:docPartUnique/>
      </w:docPartObj>
    </w:sdtPr>
    <w:sdtEndPr>
      <w:rPr>
        <w:noProof/>
      </w:rPr>
    </w:sdtEndPr>
    <w:sdtContent>
      <w:p w14:paraId="65A3F5CA" w14:textId="7179E4C5" w:rsidR="0087332D" w:rsidRDefault="0087332D" w:rsidP="00526D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7818092"/>
      <w:docPartObj>
        <w:docPartGallery w:val="Page Numbers (Bottom of Page)"/>
        <w:docPartUnique/>
      </w:docPartObj>
    </w:sdtPr>
    <w:sdtEndPr>
      <w:rPr>
        <w:noProof/>
      </w:rPr>
    </w:sdtEndPr>
    <w:sdtContent>
      <w:p w14:paraId="2B765BB7" w14:textId="01356DAA" w:rsidR="00AD1B55" w:rsidRDefault="00AD1B55" w:rsidP="00930CE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EAE85" w14:textId="36A1E1FA" w:rsidR="00F559D9" w:rsidRDefault="00F559D9" w:rsidP="00F559D9">
    <w:pPr>
      <w:pStyle w:val="FooterOdd"/>
    </w:pPr>
    <w:r w:rsidRPr="00F60198">
      <w:fldChar w:fldCharType="begin"/>
    </w:r>
    <w:r w:rsidRPr="00F60198">
      <w:instrText xml:space="preserve"> PAGE   \* MERGEFORMAT </w:instrText>
    </w:r>
    <w:r w:rsidRPr="00F60198">
      <w:fldChar w:fldCharType="separate"/>
    </w:r>
    <w:r>
      <w:t>1</w:t>
    </w:r>
    <w:r w:rsidRPr="00F6019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3B2A6" w14:textId="46EC62DE" w:rsidR="004C0BA7" w:rsidRPr="00F559D9" w:rsidRDefault="00F559D9" w:rsidP="00F559D9">
    <w:pPr>
      <w:pStyle w:val="FooterEven"/>
    </w:pPr>
    <w:r w:rsidRPr="00F60198">
      <w:fldChar w:fldCharType="begin"/>
    </w:r>
    <w:r w:rsidRPr="00F60198">
      <w:instrText xml:space="preserve"> PAGE   \* MERGEFORMAT </w:instrText>
    </w:r>
    <w:r w:rsidRPr="00F60198">
      <w:fldChar w:fldCharType="separate"/>
    </w:r>
    <w:r>
      <w:t>v</w:t>
    </w:r>
    <w:r w:rsidRPr="00F60198">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8A289" w14:textId="77777777" w:rsidR="004C0BA7" w:rsidRDefault="004C0BA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54994" w14:textId="2D8A9298" w:rsidR="004C0BA7" w:rsidRPr="00E77C89" w:rsidRDefault="004C0BA7" w:rsidP="00EE1447">
    <w:pPr>
      <w:pStyle w:val="FooterEven"/>
    </w:pPr>
    <w:r>
      <w:fldChar w:fldCharType="begin"/>
    </w:r>
    <w:r>
      <w:instrText xml:space="preserve"> PAGE  \* Arabic  \* MERGEFORMAT </w:instrText>
    </w:r>
    <w:r>
      <w:fldChar w:fldCharType="separate"/>
    </w:r>
    <w:r>
      <w:t>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9CCEE" w14:textId="77777777" w:rsidR="00F559D9" w:rsidRPr="00F60198" w:rsidRDefault="00F559D9" w:rsidP="00F60198">
    <w:pPr>
      <w:pStyle w:val="FooterOdd"/>
    </w:pPr>
    <w:r w:rsidRPr="00F60198">
      <w:fldChar w:fldCharType="begin"/>
    </w:r>
    <w:r w:rsidRPr="00F60198">
      <w:instrText xml:space="preserve"> PAGE   \* MERGEFORMAT </w:instrText>
    </w:r>
    <w:r w:rsidRPr="00F60198">
      <w:fldChar w:fldCharType="separate"/>
    </w:r>
    <w:r>
      <w:rPr>
        <w:noProof/>
      </w:rPr>
      <w:t>i</w:t>
    </w:r>
    <w:r w:rsidRPr="00F60198">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D4E6C" w14:textId="77777777" w:rsidR="004C0BA7" w:rsidRDefault="004C0BA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CB800" w14:textId="77777777" w:rsidR="00F559D9" w:rsidRPr="00E77C89" w:rsidRDefault="00F559D9" w:rsidP="00EE1447">
    <w:pPr>
      <w:pStyle w:val="FooterEven"/>
    </w:pPr>
    <w:r>
      <w:fldChar w:fldCharType="begin"/>
    </w:r>
    <w:r>
      <w:instrText xml:space="preserve"> PAGE  \* Arabic  \* MERGEFORMAT </w:instrText>
    </w:r>
    <w:r>
      <w:fldChar w:fldCharType="separate"/>
    </w:r>
    <w:r>
      <w:t>4</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0321767"/>
      <w:docPartObj>
        <w:docPartGallery w:val="Page Numbers (Bottom of Page)"/>
        <w:docPartUnique/>
      </w:docPartObj>
    </w:sdtPr>
    <w:sdtEndPr>
      <w:rPr>
        <w:noProof/>
      </w:rPr>
    </w:sdtEndPr>
    <w:sdtContent>
      <w:p w14:paraId="57E46236" w14:textId="309E7852" w:rsidR="00785D50" w:rsidRDefault="00785D50" w:rsidP="00526D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7A05DD" w14:textId="77777777" w:rsidR="00A9650B" w:rsidRDefault="00A9650B">
      <w:pPr>
        <w:spacing w:before="0" w:after="0"/>
      </w:pPr>
      <w:r>
        <w:separator/>
      </w:r>
    </w:p>
  </w:footnote>
  <w:footnote w:type="continuationSeparator" w:id="0">
    <w:p w14:paraId="3FB51D96" w14:textId="77777777" w:rsidR="00A9650B" w:rsidRDefault="00A9650B">
      <w:pPr>
        <w:spacing w:before="0" w:after="0"/>
      </w:pPr>
      <w:r>
        <w:continuationSeparator/>
      </w:r>
    </w:p>
  </w:footnote>
  <w:footnote w:type="continuationNotice" w:id="1">
    <w:p w14:paraId="1209EE51" w14:textId="77777777" w:rsidR="00A9650B" w:rsidRDefault="00A9650B">
      <w:pPr>
        <w:spacing w:before="0" w:after="0"/>
      </w:pPr>
    </w:p>
  </w:footnote>
  <w:footnote w:id="2">
    <w:p w14:paraId="26E83493" w14:textId="1ECFE5B2" w:rsidR="00AF243C" w:rsidRPr="00F3084A" w:rsidRDefault="00526D0C" w:rsidP="00AF243C">
      <w:pPr>
        <w:pStyle w:val="FootnoteText"/>
      </w:pPr>
      <w:r w:rsidRPr="00526D0C">
        <w:rPr>
          <w:rStyle w:val="FootnoteReference"/>
          <w:vertAlign w:val="baseline"/>
        </w:rPr>
        <w:footnoteRef/>
      </w:r>
      <w:r w:rsidR="00AF243C">
        <w:t xml:space="preserve"> </w:t>
      </w:r>
      <w:r w:rsidR="00951229">
        <w:tab/>
      </w:r>
      <w:r w:rsidR="00AF243C" w:rsidRPr="00F3084A">
        <w:t xml:space="preserve">Refer </w:t>
      </w:r>
      <w:r w:rsidR="00880EF9" w:rsidRPr="009001C9">
        <w:t>paragraph</w:t>
      </w:r>
      <w:r w:rsidR="00AF243C" w:rsidRPr="009001C9">
        <w:t xml:space="preserve"> </w:t>
      </w:r>
      <w:r w:rsidR="00A6032A">
        <w:t>2.6</w:t>
      </w:r>
      <w:r w:rsidR="00920554" w:rsidRPr="009001C9">
        <w:t>.</w:t>
      </w:r>
      <w:r w:rsidR="00AF243C" w:rsidRPr="009001C9">
        <w:t xml:space="preserve"> </w:t>
      </w:r>
    </w:p>
  </w:footnote>
  <w:footnote w:id="3">
    <w:p w14:paraId="3535A58C" w14:textId="180BE168" w:rsidR="00AF243C" w:rsidRDefault="00526D0C" w:rsidP="00AF243C">
      <w:pPr>
        <w:pStyle w:val="FootnoteText"/>
      </w:pPr>
      <w:r w:rsidRPr="00526D0C">
        <w:footnoteRef/>
      </w:r>
      <w:r w:rsidR="00AF243C">
        <w:t xml:space="preserve"> </w:t>
      </w:r>
      <w:r w:rsidR="00951229">
        <w:tab/>
      </w:r>
      <w:r w:rsidR="00AF243C">
        <w:t xml:space="preserve">Refer </w:t>
      </w:r>
      <w:r w:rsidR="00766F0B">
        <w:t>C</w:t>
      </w:r>
      <w:r w:rsidR="00AF243C">
        <w:t>hapter 3</w:t>
      </w:r>
      <w:r w:rsidR="00962B68">
        <w:t xml:space="preserve">, </w:t>
      </w:r>
      <w:r w:rsidR="00962B68" w:rsidRPr="009001C9">
        <w:t>Figure 3.2</w:t>
      </w:r>
      <w:r w:rsidR="00962B68">
        <w:t>.</w:t>
      </w:r>
    </w:p>
  </w:footnote>
  <w:footnote w:id="4">
    <w:p w14:paraId="661CC3E6" w14:textId="533F0A7B" w:rsidR="00AF243C" w:rsidRDefault="00526D0C" w:rsidP="00AF243C">
      <w:pPr>
        <w:pStyle w:val="FootnoteText"/>
      </w:pPr>
      <w:r w:rsidRPr="00526D0C">
        <w:rPr>
          <w:rStyle w:val="FootnoteReference"/>
          <w:vertAlign w:val="baseline"/>
        </w:rPr>
        <w:footnoteRef/>
      </w:r>
      <w:r w:rsidR="00AF243C">
        <w:t xml:space="preserve"> </w:t>
      </w:r>
      <w:r w:rsidR="00951229">
        <w:tab/>
      </w:r>
      <w:r w:rsidR="003315C4">
        <w:t>ASIC</w:t>
      </w:r>
      <w:r w:rsidR="003315C4" w:rsidRPr="00916CD1">
        <w:t xml:space="preserve">, </w:t>
      </w:r>
      <w:hyperlink r:id="rId1" w:history="1">
        <w:r w:rsidR="003315C4" w:rsidRPr="003E4EC6">
          <w:rPr>
            <w:rStyle w:val="Hyperlink"/>
            <w:i/>
            <w:iCs/>
          </w:rPr>
          <w:t>Chair</w:t>
        </w:r>
        <w:r w:rsidR="00EF40B0">
          <w:rPr>
            <w:rStyle w:val="Hyperlink"/>
            <w:i/>
            <w:iCs/>
          </w:rPr>
          <w:t>’</w:t>
        </w:r>
        <w:r w:rsidR="003315C4" w:rsidRPr="003E4EC6">
          <w:rPr>
            <w:rStyle w:val="Hyperlink"/>
            <w:i/>
            <w:iCs/>
          </w:rPr>
          <w:t>s remarks at Corporate Counsel Association event</w:t>
        </w:r>
      </w:hyperlink>
      <w:r w:rsidR="003315C4" w:rsidRPr="00916CD1">
        <w:rPr>
          <w:i/>
          <w:iCs/>
        </w:rPr>
        <w:t xml:space="preserve"> </w:t>
      </w:r>
      <w:r w:rsidR="003315C4" w:rsidRPr="00916CD1">
        <w:t xml:space="preserve">[speech], ASIC website, 25 May 2022, accessed </w:t>
      </w:r>
      <w:r w:rsidR="006C1AF1" w:rsidRPr="005D7EA2">
        <w:t>21 July 2022</w:t>
      </w:r>
      <w:r w:rsidR="00327CD6">
        <w:t>.</w:t>
      </w:r>
      <w:r w:rsidR="006C1AF1" w:rsidRPr="005D7EA2">
        <w:t xml:space="preserve"> ASIC, </w:t>
      </w:r>
      <w:hyperlink r:id="rId2" w:history="1">
        <w:r w:rsidR="006C1AF1" w:rsidRPr="003E4EC6">
          <w:rPr>
            <w:rStyle w:val="Hyperlink"/>
            <w:i/>
            <w:iCs/>
          </w:rPr>
          <w:t>Reflections from the ASIC Chair</w:t>
        </w:r>
      </w:hyperlink>
      <w:r w:rsidR="006C1AF1" w:rsidRPr="00916CD1">
        <w:rPr>
          <w:i/>
          <w:iCs/>
        </w:rPr>
        <w:t xml:space="preserve"> </w:t>
      </w:r>
      <w:r w:rsidR="006C1AF1" w:rsidRPr="00916CD1">
        <w:t>[speech], ASIC website, 4 June 2022, accessed 21 July 2022</w:t>
      </w:r>
      <w:r w:rsidR="00552F93" w:rsidRPr="005D7EA2">
        <w:t>.</w:t>
      </w:r>
      <w:r w:rsidR="00D75F38" w:rsidRPr="00764998" w:rsidDel="00D75F38">
        <w:rPr>
          <w:highlight w:val="yellow"/>
        </w:rPr>
        <w:t xml:space="preserve"> </w:t>
      </w:r>
    </w:p>
  </w:footnote>
  <w:footnote w:id="5">
    <w:p w14:paraId="03B11483" w14:textId="7538D635" w:rsidR="00DA3518" w:rsidRDefault="00526D0C" w:rsidP="00DA3518">
      <w:pPr>
        <w:pStyle w:val="FootnoteText"/>
      </w:pPr>
      <w:r w:rsidRPr="00526D0C">
        <w:rPr>
          <w:rStyle w:val="FootnoteReference"/>
          <w:vertAlign w:val="baseline"/>
        </w:rPr>
        <w:footnoteRef/>
      </w:r>
      <w:r w:rsidR="00580877">
        <w:t xml:space="preserve"> </w:t>
      </w:r>
      <w:r w:rsidR="00BF56E8">
        <w:tab/>
      </w:r>
      <w:r w:rsidR="00E92198">
        <w:t xml:space="preserve">KM Haynes, Recommendations 6.13 and 6.14, </w:t>
      </w:r>
      <w:r w:rsidR="00E92198" w:rsidRPr="00E44BCF">
        <w:rPr>
          <w:i/>
          <w:iCs/>
        </w:rPr>
        <w:t>Final Report Royal C</w:t>
      </w:r>
      <w:r w:rsidR="00580877" w:rsidRPr="00E44BCF">
        <w:rPr>
          <w:i/>
          <w:iCs/>
        </w:rPr>
        <w:t>om</w:t>
      </w:r>
      <w:r w:rsidR="00E92198" w:rsidRPr="00E44BCF">
        <w:rPr>
          <w:i/>
          <w:iCs/>
        </w:rPr>
        <w:t>mission into Misconduct in the Banking, Superannuation and Financial Services Industry</w:t>
      </w:r>
      <w:r w:rsidR="00E92198">
        <w:t>, Australian Government, 2019, p</w:t>
      </w:r>
      <w:r w:rsidR="00580877">
        <w:t xml:space="preserve"> 41. </w:t>
      </w:r>
    </w:p>
  </w:footnote>
  <w:footnote w:id="6">
    <w:p w14:paraId="3B6C9D56" w14:textId="5E466F6E" w:rsidR="00DA3518" w:rsidRDefault="00526D0C" w:rsidP="00DA3518">
      <w:pPr>
        <w:pStyle w:val="FootnoteText"/>
      </w:pPr>
      <w:r w:rsidRPr="00526D0C">
        <w:rPr>
          <w:rStyle w:val="FootnoteReference"/>
          <w:vertAlign w:val="baseline"/>
        </w:rPr>
        <w:footnoteRef/>
      </w:r>
      <w:r w:rsidR="00DA3518">
        <w:t xml:space="preserve"> </w:t>
      </w:r>
      <w:r w:rsidR="00951229">
        <w:tab/>
      </w:r>
      <w:r w:rsidR="00DA3518" w:rsidRPr="00B1734C">
        <w:rPr>
          <w:i/>
          <w:iCs/>
        </w:rPr>
        <w:t>Financial Regulator Assessment Authority Act 2021</w:t>
      </w:r>
      <w:r w:rsidR="00DD0933" w:rsidRPr="00B1734C">
        <w:t xml:space="preserve"> (FRAA A</w:t>
      </w:r>
      <w:r w:rsidR="00B65796" w:rsidRPr="00B1734C">
        <w:t>ct</w:t>
      </w:r>
      <w:r w:rsidR="00DD0933" w:rsidRPr="00B1734C">
        <w:t>)</w:t>
      </w:r>
      <w:r w:rsidR="00F54911">
        <w:t>,</w:t>
      </w:r>
      <w:r w:rsidR="00DD0933">
        <w:t xml:space="preserve"> </w:t>
      </w:r>
      <w:r w:rsidR="00DA3518">
        <w:t>ss 12</w:t>
      </w:r>
      <w:r w:rsidR="00EF40B0">
        <w:noBreakHyphen/>
      </w:r>
      <w:r w:rsidR="00DA3518">
        <w:t>13.</w:t>
      </w:r>
    </w:p>
  </w:footnote>
  <w:footnote w:id="7">
    <w:p w14:paraId="50DCCB7A" w14:textId="2227FE62" w:rsidR="00DA3518" w:rsidRDefault="00526D0C" w:rsidP="00DA3518">
      <w:pPr>
        <w:pStyle w:val="FootnoteText"/>
      </w:pPr>
      <w:r w:rsidRPr="00526D0C">
        <w:rPr>
          <w:rStyle w:val="FootnoteReference"/>
          <w:vertAlign w:val="baseline"/>
        </w:rPr>
        <w:footnoteRef/>
      </w:r>
      <w:r w:rsidR="00AA62E2">
        <w:t xml:space="preserve"> </w:t>
      </w:r>
      <w:r w:rsidR="00951229">
        <w:tab/>
      </w:r>
      <w:r w:rsidR="00DD0933">
        <w:t>FRAA</w:t>
      </w:r>
      <w:r w:rsidR="00AA62E2" w:rsidRPr="001F78E5">
        <w:t xml:space="preserve"> Act 2021</w:t>
      </w:r>
      <w:r w:rsidR="006E676D" w:rsidRPr="001F78E5">
        <w:t>,</w:t>
      </w:r>
      <w:r w:rsidR="00AA62E2">
        <w:t xml:space="preserve"> ss 12(1)(c), 14.</w:t>
      </w:r>
    </w:p>
  </w:footnote>
  <w:footnote w:id="8">
    <w:p w14:paraId="4176DBFD" w14:textId="53881B92" w:rsidR="00DA3518" w:rsidRDefault="00526D0C" w:rsidP="00DA3518">
      <w:pPr>
        <w:pStyle w:val="FootnoteText"/>
      </w:pPr>
      <w:r w:rsidRPr="00526D0C">
        <w:rPr>
          <w:rStyle w:val="FootnoteReference"/>
          <w:vertAlign w:val="baseline"/>
        </w:rPr>
        <w:footnoteRef/>
      </w:r>
      <w:r w:rsidR="00AA62E2">
        <w:t xml:space="preserve"> </w:t>
      </w:r>
      <w:r w:rsidR="00951229">
        <w:tab/>
      </w:r>
      <w:r w:rsidR="00DD0933" w:rsidRPr="003E4EC6">
        <w:t xml:space="preserve">FRAA </w:t>
      </w:r>
      <w:r w:rsidR="00DD0933">
        <w:t>Act</w:t>
      </w:r>
      <w:r w:rsidR="009A7D64">
        <w:t>,</w:t>
      </w:r>
      <w:r w:rsidR="00AA62E2">
        <w:t xml:space="preserve"> s 12(2).</w:t>
      </w:r>
    </w:p>
  </w:footnote>
  <w:footnote w:id="9">
    <w:p w14:paraId="022FBAD6" w14:textId="7FC407E7" w:rsidR="004E514A" w:rsidRDefault="00526D0C" w:rsidP="004E514A">
      <w:pPr>
        <w:pStyle w:val="FootnoteText"/>
      </w:pPr>
      <w:r w:rsidRPr="00526D0C">
        <w:rPr>
          <w:rStyle w:val="FootnoteReference"/>
          <w:vertAlign w:val="baseline"/>
        </w:rPr>
        <w:footnoteRef/>
      </w:r>
      <w:r w:rsidR="004E514A">
        <w:t xml:space="preserve"> </w:t>
      </w:r>
      <w:r w:rsidR="004E514A">
        <w:tab/>
      </w:r>
      <w:r w:rsidR="004E514A" w:rsidRPr="006214A7">
        <w:rPr>
          <w:i/>
        </w:rPr>
        <w:t>Australian Securities and Investments Commission Act 2001</w:t>
      </w:r>
      <w:r w:rsidR="002A469E">
        <w:rPr>
          <w:i/>
        </w:rPr>
        <w:t xml:space="preserve"> </w:t>
      </w:r>
      <w:r w:rsidR="002A469E" w:rsidRPr="002A469E">
        <w:rPr>
          <w:iCs/>
        </w:rPr>
        <w:t>(ASIC Act)</w:t>
      </w:r>
      <w:r w:rsidR="004E514A" w:rsidRPr="0041734C">
        <w:t>;</w:t>
      </w:r>
      <w:r w:rsidR="004E514A" w:rsidRPr="003D0790">
        <w:t xml:space="preserve"> </w:t>
      </w:r>
      <w:r w:rsidR="004E514A" w:rsidRPr="00133096">
        <w:rPr>
          <w:i/>
        </w:rPr>
        <w:t>Australian Prudential Regulation Authority Act 1998</w:t>
      </w:r>
      <w:r w:rsidR="004E514A" w:rsidRPr="003D0790">
        <w:t xml:space="preserve">; </w:t>
      </w:r>
      <w:r w:rsidR="004E514A" w:rsidRPr="00133096">
        <w:rPr>
          <w:i/>
        </w:rPr>
        <w:t>National Consumer Credit Protection Act 2009</w:t>
      </w:r>
      <w:r w:rsidR="009D03C2" w:rsidRPr="00140678">
        <w:t xml:space="preserve"> (NCCP Act)</w:t>
      </w:r>
      <w:r w:rsidR="004E514A" w:rsidRPr="00A533F4">
        <w:t>;</w:t>
      </w:r>
      <w:r w:rsidR="004E514A" w:rsidRPr="003D0790">
        <w:t xml:space="preserve"> </w:t>
      </w:r>
      <w:r w:rsidR="004E514A" w:rsidRPr="00133096">
        <w:rPr>
          <w:i/>
        </w:rPr>
        <w:t>Corporations Act</w:t>
      </w:r>
      <w:r w:rsidR="004E514A" w:rsidRPr="00B017D6">
        <w:rPr>
          <w:i/>
        </w:rPr>
        <w:t xml:space="preserve"> 2001</w:t>
      </w:r>
      <w:r w:rsidR="004E514A" w:rsidRPr="00407B6A">
        <w:t>;</w:t>
      </w:r>
      <w:r w:rsidR="004E514A" w:rsidRPr="003D0790">
        <w:t xml:space="preserve"> </w:t>
      </w:r>
      <w:r w:rsidR="004E514A" w:rsidRPr="00133096">
        <w:rPr>
          <w:i/>
        </w:rPr>
        <w:t>Public Governance, Performance and Accountability Act 2013</w:t>
      </w:r>
      <w:r w:rsidR="004E514A" w:rsidRPr="003D0790">
        <w:t>;</w:t>
      </w:r>
      <w:r w:rsidR="004E514A">
        <w:t xml:space="preserve"> Commonwealth of Australia, Department of the Prime Minister and Cabinet, </w:t>
      </w:r>
      <w:r w:rsidR="004E514A" w:rsidRPr="00FA617F">
        <w:rPr>
          <w:i/>
        </w:rPr>
        <w:t>Regulator Performance Guide</w:t>
      </w:r>
      <w:r w:rsidR="004E514A">
        <w:t xml:space="preserve">, </w:t>
      </w:r>
      <w:r w:rsidR="00B86938">
        <w:t xml:space="preserve">Australian Government, </w:t>
      </w:r>
      <w:r w:rsidR="004E514A">
        <w:t>2021;</w:t>
      </w:r>
      <w:r w:rsidR="004E514A" w:rsidRPr="00B41FA4">
        <w:t xml:space="preserve"> </w:t>
      </w:r>
      <w:r w:rsidR="00F51C5C">
        <w:t>Department</w:t>
      </w:r>
      <w:r w:rsidR="004E514A">
        <w:t xml:space="preserve"> of </w:t>
      </w:r>
      <w:r w:rsidR="00B60BA2">
        <w:t>Finance,</w:t>
      </w:r>
      <w:r w:rsidR="004E514A">
        <w:t xml:space="preserve"> </w:t>
      </w:r>
      <w:hyperlink r:id="rId3" w:anchor=":~:text=The%20Charging%20Framework%20builds%20on,improved%20and%20consistent%20government%20charging." w:history="1">
        <w:r w:rsidR="004E514A" w:rsidRPr="00B60BA2">
          <w:rPr>
            <w:rStyle w:val="Hyperlink"/>
            <w:i/>
            <w:iCs/>
          </w:rPr>
          <w:t>Australian Government Charging Framework Resource Management Guide No.</w:t>
        </w:r>
        <w:r w:rsidR="00812515">
          <w:rPr>
            <w:rStyle w:val="Hyperlink"/>
            <w:i/>
            <w:iCs/>
          </w:rPr>
          <w:t> </w:t>
        </w:r>
        <w:r w:rsidR="004E514A" w:rsidRPr="00B60BA2">
          <w:rPr>
            <w:rStyle w:val="Hyperlink"/>
            <w:i/>
            <w:iCs/>
          </w:rPr>
          <w:t>302</w:t>
        </w:r>
      </w:hyperlink>
      <w:r w:rsidR="004E514A">
        <w:t xml:space="preserve">, </w:t>
      </w:r>
      <w:r w:rsidR="00B60BA2">
        <w:t xml:space="preserve">Australian Government, </w:t>
      </w:r>
      <w:r w:rsidR="004E514A">
        <w:t>2015.</w:t>
      </w:r>
    </w:p>
  </w:footnote>
  <w:footnote w:id="10">
    <w:p w14:paraId="011C38FB" w14:textId="33800D19" w:rsidR="00975B0A" w:rsidRPr="00004FBF" w:rsidRDefault="00526D0C">
      <w:pPr>
        <w:pStyle w:val="FootnoteText"/>
        <w:rPr>
          <w:rFonts w:cs="Calibri"/>
        </w:rPr>
      </w:pPr>
      <w:r w:rsidRPr="00526D0C">
        <w:rPr>
          <w:rStyle w:val="FootnoteReference"/>
          <w:vertAlign w:val="baseline"/>
        </w:rPr>
        <w:footnoteRef/>
      </w:r>
      <w:r w:rsidR="00DE3E6B">
        <w:t xml:space="preserve"> </w:t>
      </w:r>
      <w:r w:rsidR="00E243D2">
        <w:tab/>
      </w:r>
      <w:r w:rsidR="00DE3E6B" w:rsidRPr="00DE3E6B">
        <w:t xml:space="preserve">For ASIC staff </w:t>
      </w:r>
      <w:r w:rsidR="00931A42">
        <w:t>members</w:t>
      </w:r>
      <w:r w:rsidR="00DE3E6B" w:rsidRPr="00DE3E6B">
        <w:t xml:space="preserve"> within those teams, surveillance and licensing activities may represent only a portion of their workload. Staff are responsible for additional activities including industry engagement, education, policy advice</w:t>
      </w:r>
      <w:r w:rsidR="00AE60B2">
        <w:t xml:space="preserve"> and guidance</w:t>
      </w:r>
      <w:r w:rsidR="00DE3E6B" w:rsidRPr="00DE3E6B">
        <w:t>. The distribution of activities within each team will vary depending on the size and nature of each team</w:t>
      </w:r>
      <w:r w:rsidR="00EF40B0">
        <w:t>’</w:t>
      </w:r>
      <w:r w:rsidR="00DE3E6B" w:rsidRPr="00DE3E6B">
        <w:t>s regulated population.</w:t>
      </w:r>
    </w:p>
  </w:footnote>
  <w:footnote w:id="11">
    <w:p w14:paraId="5553CC53" w14:textId="45AB037D" w:rsidR="0079136A" w:rsidRPr="00384265" w:rsidRDefault="00526D0C" w:rsidP="00384265">
      <w:pPr>
        <w:pStyle w:val="FootnoteText"/>
      </w:pPr>
      <w:r w:rsidRPr="00526D0C">
        <w:rPr>
          <w:rStyle w:val="FootnoteReference"/>
          <w:vertAlign w:val="baseline"/>
        </w:rPr>
        <w:footnoteRef/>
      </w:r>
      <w:r w:rsidR="0079136A">
        <w:t xml:space="preserve"> </w:t>
      </w:r>
      <w:r w:rsidR="0079136A">
        <w:tab/>
      </w:r>
      <w:r w:rsidR="00AE3B46" w:rsidRPr="00AE3B46">
        <w:t>Internal budget allocation provided by ASIC</w:t>
      </w:r>
      <w:r w:rsidR="00CC1C3E">
        <w:t xml:space="preserve"> based on </w:t>
      </w:r>
      <w:r w:rsidR="009C6E3B">
        <w:t xml:space="preserve">the </w:t>
      </w:r>
      <w:r w:rsidR="005C7622">
        <w:t>2021-22 Budget</w:t>
      </w:r>
      <w:r w:rsidR="00AE3B46" w:rsidRPr="00AE3B46">
        <w:t>.</w:t>
      </w:r>
      <w:r w:rsidR="00AE3B46">
        <w:t xml:space="preserve"> </w:t>
      </w:r>
      <w:r w:rsidR="00DE49BD">
        <w:t>Total may not add to 100 due to rounding.</w:t>
      </w:r>
      <w:r w:rsidR="000B6FD9">
        <w:t xml:space="preserve"> </w:t>
      </w:r>
      <w:r w:rsidR="0079136A" w:rsidRPr="00951229">
        <w:t>Enforcement figures are based on ASIC</w:t>
      </w:r>
      <w:r w:rsidR="00EF40B0">
        <w:t>’</w:t>
      </w:r>
      <w:r w:rsidR="0079136A" w:rsidRPr="00951229">
        <w:t>s internal budget allocation for the Office of Enforcement. The surveillance figures are based on ASIC</w:t>
      </w:r>
      <w:r w:rsidR="00EF40B0">
        <w:t>’</w:t>
      </w:r>
      <w:r w:rsidR="0079136A" w:rsidRPr="00951229">
        <w:t xml:space="preserve">s internal budget allocation for </w:t>
      </w:r>
      <w:r w:rsidR="00937C64">
        <w:t xml:space="preserve">the </w:t>
      </w:r>
      <w:r w:rsidR="0079136A" w:rsidRPr="00951229">
        <w:t xml:space="preserve">Markets </w:t>
      </w:r>
      <w:r w:rsidR="00937C64">
        <w:t>Group</w:t>
      </w:r>
      <w:r w:rsidR="0079136A" w:rsidRPr="00951229">
        <w:t xml:space="preserve"> and F</w:t>
      </w:r>
      <w:r w:rsidR="00937C64">
        <w:t xml:space="preserve">inancial </w:t>
      </w:r>
      <w:r w:rsidR="0079136A" w:rsidRPr="00951229">
        <w:t>S</w:t>
      </w:r>
      <w:r w:rsidR="00937C64">
        <w:t xml:space="preserve">ervices and </w:t>
      </w:r>
      <w:r w:rsidR="0079136A" w:rsidRPr="00951229">
        <w:t>W</w:t>
      </w:r>
      <w:r w:rsidR="00937C64">
        <w:t>ealth</w:t>
      </w:r>
      <w:r w:rsidR="0079136A" w:rsidRPr="00951229">
        <w:t xml:space="preserve"> Group</w:t>
      </w:r>
      <w:r w:rsidR="00384265">
        <w:t xml:space="preserve">. </w:t>
      </w:r>
      <w:r w:rsidR="00384265">
        <w:rPr>
          <w:rFonts w:cs="Calibri"/>
          <w:color w:val="000000"/>
        </w:rPr>
        <w:t>Licensing</w:t>
      </w:r>
      <w:r w:rsidR="0079136A" w:rsidRPr="00951229">
        <w:rPr>
          <w:rFonts w:cs="Calibri"/>
          <w:color w:val="000000"/>
        </w:rPr>
        <w:t xml:space="preserve"> figures do not include </w:t>
      </w:r>
      <w:r w:rsidR="00604C1D">
        <w:rPr>
          <w:rFonts w:cs="Calibri"/>
          <w:color w:val="000000"/>
        </w:rPr>
        <w:t>l</w:t>
      </w:r>
      <w:r w:rsidR="0079136A" w:rsidRPr="00951229">
        <w:rPr>
          <w:rFonts w:cs="Calibri"/>
          <w:color w:val="000000"/>
        </w:rPr>
        <w:t>icensing work undertaken by the Market Infrastructure team which sits under the Markets Group.</w:t>
      </w:r>
      <w:r w:rsidR="00384265">
        <w:t xml:space="preserve"> </w:t>
      </w:r>
      <w:r w:rsidR="0079136A" w:rsidRPr="00951229">
        <w:rPr>
          <w:rFonts w:cs="Calibri"/>
          <w:color w:val="000000"/>
        </w:rPr>
        <w:t xml:space="preserve">Other includes </w:t>
      </w:r>
      <w:r w:rsidR="00246418">
        <w:rPr>
          <w:rFonts w:cs="Calibri"/>
          <w:color w:val="000000"/>
        </w:rPr>
        <w:t xml:space="preserve">the </w:t>
      </w:r>
      <w:r w:rsidR="0079136A" w:rsidRPr="00951229">
        <w:rPr>
          <w:rFonts w:cs="Calibri"/>
          <w:color w:val="000000"/>
        </w:rPr>
        <w:t xml:space="preserve">Misconduct </w:t>
      </w:r>
      <w:r w:rsidR="000B6FD9">
        <w:rPr>
          <w:rFonts w:cs="Calibri"/>
          <w:color w:val="000000"/>
        </w:rPr>
        <w:t>and</w:t>
      </w:r>
      <w:r w:rsidR="0079136A" w:rsidRPr="00951229">
        <w:rPr>
          <w:rFonts w:cs="Calibri"/>
          <w:color w:val="000000"/>
        </w:rPr>
        <w:t xml:space="preserve"> Breach Reporting team and programs funded from Section 74 receipts (Modernis</w:t>
      </w:r>
      <w:r w:rsidR="00FC239C">
        <w:rPr>
          <w:rFonts w:cs="Calibri"/>
          <w:color w:val="000000"/>
        </w:rPr>
        <w:t xml:space="preserve">ing </w:t>
      </w:r>
      <w:r w:rsidR="0079136A" w:rsidRPr="00951229">
        <w:rPr>
          <w:rFonts w:cs="Calibri"/>
          <w:color w:val="000000"/>
        </w:rPr>
        <w:t xml:space="preserve">Business Registers </w:t>
      </w:r>
      <w:r w:rsidR="00FC239C">
        <w:rPr>
          <w:rFonts w:cs="Calibri"/>
          <w:color w:val="000000"/>
        </w:rPr>
        <w:t>program</w:t>
      </w:r>
      <w:r w:rsidR="0079136A" w:rsidRPr="00951229">
        <w:rPr>
          <w:rFonts w:cs="Calibri"/>
          <w:color w:val="000000"/>
        </w:rPr>
        <w:t xml:space="preserve"> and Global Switch Unit exit).</w:t>
      </w:r>
    </w:p>
  </w:footnote>
  <w:footnote w:id="12">
    <w:p w14:paraId="21158A98" w14:textId="63CECC3A" w:rsidR="00F82C39" w:rsidRDefault="00526D0C" w:rsidP="00F82C39">
      <w:pPr>
        <w:pStyle w:val="FootnoteText"/>
      </w:pPr>
      <w:r w:rsidRPr="00526D0C">
        <w:rPr>
          <w:rStyle w:val="FootnoteReference"/>
          <w:vertAlign w:val="baseline"/>
        </w:rPr>
        <w:footnoteRef/>
      </w:r>
      <w:r w:rsidR="00F82C39">
        <w:t xml:space="preserve"> </w:t>
      </w:r>
      <w:r w:rsidR="00951229">
        <w:tab/>
      </w:r>
      <w:r w:rsidR="00F82C39" w:rsidRPr="00393138">
        <w:t xml:space="preserve">In a discussion </w:t>
      </w:r>
      <w:r w:rsidR="00F82C39">
        <w:t xml:space="preserve">with the FRAA, </w:t>
      </w:r>
      <w:r w:rsidR="0047320D">
        <w:t>several</w:t>
      </w:r>
      <w:r w:rsidR="00F82C39" w:rsidRPr="00074082">
        <w:t xml:space="preserve"> prominent academics</w:t>
      </w:r>
      <w:r w:rsidR="00F82C39">
        <w:t xml:space="preserve"> expressed the view there </w:t>
      </w:r>
      <w:r w:rsidR="00F82C39" w:rsidRPr="00393138">
        <w:t>is no</w:t>
      </w:r>
      <w:r w:rsidR="00B24348">
        <w:t>t</w:t>
      </w:r>
      <w:r w:rsidR="00F82C39" w:rsidRPr="00393138">
        <w:t xml:space="preserve"> </w:t>
      </w:r>
      <w:r w:rsidR="00EF40B0">
        <w:t>‘</w:t>
      </w:r>
      <w:r w:rsidR="00F82C39" w:rsidRPr="00393138">
        <w:t>one</w:t>
      </w:r>
      <w:r w:rsidR="00EF40B0">
        <w:t>’</w:t>
      </w:r>
      <w:r w:rsidR="00F82C39" w:rsidRPr="00393138">
        <w:t xml:space="preserve"> approach, nor one set of metrics</w:t>
      </w:r>
      <w:r w:rsidR="00F82C39">
        <w:t xml:space="preserve"> available to measure and compare the </w:t>
      </w:r>
      <w:r w:rsidR="00F82C39" w:rsidRPr="00393138">
        <w:t xml:space="preserve">effectiveness and capability of regulators. </w:t>
      </w:r>
      <w:r w:rsidR="00F82C39">
        <w:t xml:space="preserve">See </w:t>
      </w:r>
      <w:r w:rsidR="00833BD2">
        <w:t>A</w:t>
      </w:r>
      <w:r w:rsidR="00F82C39">
        <w:t>ppendix</w:t>
      </w:r>
      <w:r w:rsidR="00833BD2">
        <w:t xml:space="preserve"> A</w:t>
      </w:r>
      <w:r w:rsidR="00F82C39">
        <w:t xml:space="preserve"> for further details.</w:t>
      </w:r>
    </w:p>
  </w:footnote>
  <w:footnote w:id="13">
    <w:p w14:paraId="5272B113" w14:textId="6A3D9F92" w:rsidR="00AA62E2" w:rsidRDefault="00526D0C" w:rsidP="00AA62E2">
      <w:pPr>
        <w:pStyle w:val="FootnoteText"/>
      </w:pPr>
      <w:r w:rsidRPr="00526D0C">
        <w:rPr>
          <w:rStyle w:val="FootnoteReference"/>
          <w:vertAlign w:val="baseline"/>
        </w:rPr>
        <w:footnoteRef/>
      </w:r>
      <w:r w:rsidR="00AA62E2">
        <w:t xml:space="preserve"> </w:t>
      </w:r>
      <w:r w:rsidR="00951229">
        <w:tab/>
      </w:r>
      <w:r w:rsidR="00713ACF" w:rsidRPr="00205939">
        <w:t xml:space="preserve">ASIC, </w:t>
      </w:r>
      <w:r w:rsidR="00A36445" w:rsidRPr="009354FB">
        <w:t xml:space="preserve">Table 2.2.1 Key Results, </w:t>
      </w:r>
      <w:hyperlink r:id="rId4" w:anchor="ar21" w:history="1">
        <w:r w:rsidR="00713ACF" w:rsidRPr="00140678">
          <w:rPr>
            <w:rStyle w:val="Hyperlink"/>
            <w:i/>
            <w:iCs/>
          </w:rPr>
          <w:t>Annual Report 2020</w:t>
        </w:r>
        <w:r w:rsidR="004C257F" w:rsidRPr="00140678">
          <w:rPr>
            <w:rStyle w:val="Hyperlink"/>
            <w:i/>
            <w:iCs/>
          </w:rPr>
          <w:t>–</w:t>
        </w:r>
        <w:r w:rsidR="00713ACF" w:rsidRPr="00140678">
          <w:rPr>
            <w:rStyle w:val="Hyperlink"/>
            <w:i/>
            <w:iCs/>
          </w:rPr>
          <w:t>21</w:t>
        </w:r>
      </w:hyperlink>
      <w:r w:rsidR="00713ACF" w:rsidRPr="00205939">
        <w:t xml:space="preserve">, </w:t>
      </w:r>
      <w:r w:rsidR="00713ACF" w:rsidRPr="009354FB">
        <w:t>p 31</w:t>
      </w:r>
      <w:r w:rsidR="00713ACF">
        <w:t>.</w:t>
      </w:r>
    </w:p>
  </w:footnote>
  <w:footnote w:id="14">
    <w:p w14:paraId="1500072A" w14:textId="0865B587" w:rsidR="00F82C39" w:rsidRPr="009354FB" w:rsidRDefault="00526D0C" w:rsidP="00F82C39">
      <w:pPr>
        <w:pStyle w:val="FootnoteText"/>
      </w:pPr>
      <w:r w:rsidRPr="00526D0C">
        <w:rPr>
          <w:rStyle w:val="FootnoteReference"/>
          <w:vertAlign w:val="baseline"/>
        </w:rPr>
        <w:footnoteRef/>
      </w:r>
      <w:r w:rsidR="00AA62E2">
        <w:t xml:space="preserve"> </w:t>
      </w:r>
      <w:r w:rsidR="00951229">
        <w:tab/>
      </w:r>
      <w:r w:rsidR="00564E99" w:rsidRPr="009354FB">
        <w:t>The FCA ha</w:t>
      </w:r>
      <w:r w:rsidR="004C257F" w:rsidRPr="009354FB">
        <w:t>s</w:t>
      </w:r>
      <w:r w:rsidR="00564E99" w:rsidRPr="009354FB">
        <w:t xml:space="preserve"> developed approximately 90 metrics across 4 top</w:t>
      </w:r>
      <w:r w:rsidR="00EF40B0">
        <w:noBreakHyphen/>
      </w:r>
      <w:r w:rsidR="00564E99" w:rsidRPr="009354FB">
        <w:t>line outcomes, 7 strategic transformation outcomes and 13 commitments; Financial Conduct Authority,</w:t>
      </w:r>
      <w:hyperlink r:id="rId5" w:anchor="lf-chapter-id-measuring-the-outcomes-of-our-commitments" w:history="1">
        <w:r w:rsidR="00564E99" w:rsidRPr="009354FB">
          <w:rPr>
            <w:rStyle w:val="Hyperlink"/>
            <w:i/>
            <w:iCs/>
          </w:rPr>
          <w:t xml:space="preserve"> FCA outcomes and metrics</w:t>
        </w:r>
      </w:hyperlink>
      <w:r w:rsidR="00564E99" w:rsidRPr="009354FB">
        <w:t>, FCA website, 7</w:t>
      </w:r>
      <w:r w:rsidR="005629CF" w:rsidRPr="009354FB">
        <w:t> </w:t>
      </w:r>
      <w:r w:rsidR="00564E99" w:rsidRPr="009354FB">
        <w:t>April 2022, accessed 21 July 2022.</w:t>
      </w:r>
    </w:p>
  </w:footnote>
  <w:footnote w:id="15">
    <w:p w14:paraId="700E06C9" w14:textId="6EBA8F3B" w:rsidR="00DA3518" w:rsidRPr="009354FB" w:rsidRDefault="00526D0C" w:rsidP="00DA3518">
      <w:pPr>
        <w:pStyle w:val="FootnoteText"/>
      </w:pPr>
      <w:r w:rsidRPr="00526D0C">
        <w:rPr>
          <w:rStyle w:val="FootnoteReference"/>
          <w:vertAlign w:val="baseline"/>
        </w:rPr>
        <w:footnoteRef/>
      </w:r>
      <w:r w:rsidR="00DA3518" w:rsidRPr="009354FB">
        <w:t xml:space="preserve"> </w:t>
      </w:r>
      <w:r w:rsidR="00951229" w:rsidRPr="009354FB">
        <w:tab/>
      </w:r>
      <w:r w:rsidR="00920008" w:rsidRPr="009354FB">
        <w:t xml:space="preserve">ASIC, </w:t>
      </w:r>
      <w:hyperlink r:id="rId6" w:history="1">
        <w:r w:rsidR="00920008" w:rsidRPr="00C910DF">
          <w:rPr>
            <w:rStyle w:val="Hyperlink"/>
            <w:i/>
          </w:rPr>
          <w:t>ASIC Corporate Plan 2021–25</w:t>
        </w:r>
        <w:r w:rsidR="00920008" w:rsidRPr="00C910DF" w:rsidDel="00A53BF0">
          <w:rPr>
            <w:rStyle w:val="Hyperlink"/>
            <w:i/>
          </w:rPr>
          <w:t>:</w:t>
        </w:r>
        <w:r w:rsidR="00920008" w:rsidRPr="00C910DF">
          <w:rPr>
            <w:rStyle w:val="Hyperlink"/>
            <w:i/>
          </w:rPr>
          <w:t xml:space="preserve"> Focus 2021–22</w:t>
        </w:r>
      </w:hyperlink>
      <w:r w:rsidR="00920008" w:rsidRPr="009354FB">
        <w:t>, ASIC website, 2021, accessed 21 July 2022, p</w:t>
      </w:r>
      <w:r w:rsidR="005629CF" w:rsidRPr="009354FB">
        <w:t> </w:t>
      </w:r>
      <w:r w:rsidR="00920008" w:rsidRPr="009354FB">
        <w:t>34.</w:t>
      </w:r>
    </w:p>
  </w:footnote>
  <w:footnote w:id="16">
    <w:p w14:paraId="50B0551F" w14:textId="772C0C8C" w:rsidR="00DA3518" w:rsidRPr="009354FB" w:rsidRDefault="00526D0C" w:rsidP="00DA3518">
      <w:pPr>
        <w:pStyle w:val="FootnoteText"/>
      </w:pPr>
      <w:r w:rsidRPr="00526D0C">
        <w:rPr>
          <w:rStyle w:val="FootnoteReference"/>
          <w:vertAlign w:val="baseline"/>
        </w:rPr>
        <w:footnoteRef/>
      </w:r>
      <w:r w:rsidR="00CF35D9" w:rsidRPr="009354FB">
        <w:t xml:space="preserve"> </w:t>
      </w:r>
      <w:r w:rsidR="00AF0145" w:rsidRPr="009354FB">
        <w:tab/>
      </w:r>
      <w:r w:rsidR="009155B7" w:rsidRPr="009354FB">
        <w:t>As per ASIC</w:t>
      </w:r>
      <w:r w:rsidR="00EF40B0">
        <w:t>’</w:t>
      </w:r>
      <w:r w:rsidR="009155B7" w:rsidRPr="009354FB">
        <w:t>s statutory mandate</w:t>
      </w:r>
      <w:r w:rsidR="00461B9E">
        <w:t xml:space="preserve"> under</w:t>
      </w:r>
      <w:r w:rsidR="009155B7" w:rsidRPr="009354FB">
        <w:rPr>
          <w:i/>
        </w:rPr>
        <w:t xml:space="preserve"> </w:t>
      </w:r>
      <w:r w:rsidR="00654562" w:rsidRPr="009354FB">
        <w:t>ASIC Act</w:t>
      </w:r>
      <w:r w:rsidR="009155B7" w:rsidRPr="009354FB">
        <w:rPr>
          <w:i/>
          <w:iCs/>
        </w:rPr>
        <w:t xml:space="preserve">, </w:t>
      </w:r>
      <w:r w:rsidR="009155B7" w:rsidRPr="009354FB">
        <w:t>s 1(2).</w:t>
      </w:r>
    </w:p>
  </w:footnote>
  <w:footnote w:id="17">
    <w:p w14:paraId="3716AE63" w14:textId="3FC2D96A" w:rsidR="00DA3518" w:rsidRPr="009354FB" w:rsidRDefault="00526D0C" w:rsidP="00DA3518">
      <w:pPr>
        <w:pStyle w:val="FootnoteText"/>
      </w:pPr>
      <w:r w:rsidRPr="00526D0C">
        <w:rPr>
          <w:rStyle w:val="FootnoteReference"/>
          <w:vertAlign w:val="baseline"/>
        </w:rPr>
        <w:footnoteRef/>
      </w:r>
      <w:r w:rsidR="00DA3518" w:rsidRPr="009354FB">
        <w:t xml:space="preserve"> </w:t>
      </w:r>
      <w:r w:rsidR="00951229" w:rsidRPr="009354FB">
        <w:tab/>
      </w:r>
      <w:r w:rsidR="002515A6" w:rsidRPr="009354FB">
        <w:t xml:space="preserve">The Treasury, </w:t>
      </w:r>
      <w:hyperlink r:id="rId7" w:history="1">
        <w:r w:rsidR="00DA3518" w:rsidRPr="009354FB">
          <w:rPr>
            <w:rStyle w:val="Hyperlink"/>
            <w:i/>
            <w:iCs/>
          </w:rPr>
          <w:t>Financial System Inquiry Final Report</w:t>
        </w:r>
      </w:hyperlink>
      <w:r w:rsidR="00DA3518" w:rsidRPr="009354FB">
        <w:t xml:space="preserve">, </w:t>
      </w:r>
      <w:r w:rsidR="0038708F" w:rsidRPr="009354FB">
        <w:t xml:space="preserve">December 2014, </w:t>
      </w:r>
      <w:r w:rsidR="00DA3518" w:rsidRPr="009354FB">
        <w:t>Characteristics of an effective financial system, xv.</w:t>
      </w:r>
    </w:p>
  </w:footnote>
  <w:footnote w:id="18">
    <w:p w14:paraId="1A93901D" w14:textId="31FCA8E7" w:rsidR="00744DE7" w:rsidRPr="009354FB" w:rsidRDefault="00526D0C" w:rsidP="00293726">
      <w:pPr>
        <w:pStyle w:val="FootnoteText"/>
      </w:pPr>
      <w:r w:rsidRPr="00526D0C">
        <w:rPr>
          <w:rStyle w:val="FootnoteReference"/>
          <w:vertAlign w:val="baseline"/>
        </w:rPr>
        <w:footnoteRef/>
      </w:r>
      <w:r w:rsidR="00744DE7" w:rsidRPr="009354FB">
        <w:t xml:space="preserve"> </w:t>
      </w:r>
      <w:r w:rsidR="00951229" w:rsidRPr="009354FB">
        <w:tab/>
      </w:r>
      <w:r w:rsidR="00744DE7" w:rsidRPr="009354FB">
        <w:t xml:space="preserve">During the GFC, Australian equity prices fell sharply, however Australian companies were able to raise equity capital; a record high of </w:t>
      </w:r>
      <w:r w:rsidR="00E9416B" w:rsidRPr="009354FB">
        <w:t>$</w:t>
      </w:r>
      <w:r w:rsidR="00744DE7" w:rsidRPr="009354FB">
        <w:t>63 billion being raised between January and September 2009. Similarly</w:t>
      </w:r>
      <w:r w:rsidR="00C85B6C" w:rsidRPr="009354FB">
        <w:t>,</w:t>
      </w:r>
      <w:r w:rsidR="00744DE7" w:rsidRPr="009354FB">
        <w:t xml:space="preserve"> during </w:t>
      </w:r>
      <w:r w:rsidR="00C94CE4" w:rsidRPr="009354FB">
        <w:t>the</w:t>
      </w:r>
      <w:r w:rsidR="00744DE7" w:rsidRPr="009354FB">
        <w:t xml:space="preserve"> COVID</w:t>
      </w:r>
      <w:r w:rsidR="00EF40B0">
        <w:noBreakHyphen/>
      </w:r>
      <w:r w:rsidR="00744DE7" w:rsidRPr="009354FB">
        <w:t xml:space="preserve">19 </w:t>
      </w:r>
      <w:r w:rsidR="00C94CE4" w:rsidRPr="009354FB">
        <w:t>pandemic</w:t>
      </w:r>
      <w:r w:rsidR="00A506A5" w:rsidRPr="009354FB">
        <w:t xml:space="preserve"> in Australia</w:t>
      </w:r>
      <w:r w:rsidR="00C94CE4" w:rsidRPr="009354FB">
        <w:t xml:space="preserve">, </w:t>
      </w:r>
      <w:r w:rsidR="00744DE7" w:rsidRPr="009354FB">
        <w:t xml:space="preserve">listed entities raised around </w:t>
      </w:r>
      <w:r w:rsidR="007A558E" w:rsidRPr="009354FB">
        <w:t>$</w:t>
      </w:r>
      <w:r w:rsidR="00744DE7" w:rsidRPr="009354FB">
        <w:t xml:space="preserve">65 billion </w:t>
      </w:r>
      <w:r w:rsidR="00910422" w:rsidRPr="009354FB">
        <w:t xml:space="preserve">– </w:t>
      </w:r>
      <w:r w:rsidR="00744DE7" w:rsidRPr="009354FB">
        <w:t xml:space="preserve">higher than </w:t>
      </w:r>
      <w:r w:rsidR="000E4E44" w:rsidRPr="009354FB">
        <w:t xml:space="preserve">in </w:t>
      </w:r>
      <w:r w:rsidR="00744DE7" w:rsidRPr="009354FB">
        <w:t>previous years. Australia</w:t>
      </w:r>
      <w:r w:rsidR="00EF40B0">
        <w:t>’</w:t>
      </w:r>
      <w:r w:rsidR="00744DE7" w:rsidRPr="009354FB">
        <w:t xml:space="preserve">s banks remained well capitalised during </w:t>
      </w:r>
      <w:r w:rsidR="000E4E44" w:rsidRPr="009354FB">
        <w:t>the</w:t>
      </w:r>
      <w:r w:rsidR="00744DE7" w:rsidRPr="009354FB">
        <w:t xml:space="preserve"> COVID</w:t>
      </w:r>
      <w:r w:rsidR="00EF40B0">
        <w:noBreakHyphen/>
      </w:r>
      <w:r w:rsidR="00744DE7" w:rsidRPr="009354FB">
        <w:t xml:space="preserve">19 </w:t>
      </w:r>
      <w:r w:rsidR="000E4E44" w:rsidRPr="009354FB">
        <w:t>pandemic</w:t>
      </w:r>
      <w:r w:rsidR="00744DE7" w:rsidRPr="009354FB">
        <w:t xml:space="preserve"> and continued to deliver credit to businesses and households.</w:t>
      </w:r>
    </w:p>
  </w:footnote>
  <w:footnote w:id="19">
    <w:p w14:paraId="359FFAD4" w14:textId="1C8C0EF7" w:rsidR="00AA62E2" w:rsidRDefault="00526D0C" w:rsidP="00AA62E2">
      <w:pPr>
        <w:pStyle w:val="FootnoteText"/>
      </w:pPr>
      <w:r w:rsidRPr="00526D0C">
        <w:rPr>
          <w:rStyle w:val="FootnoteReference"/>
          <w:vertAlign w:val="baseline"/>
        </w:rPr>
        <w:footnoteRef/>
      </w:r>
      <w:r w:rsidR="00AA62E2" w:rsidRPr="009354FB">
        <w:t xml:space="preserve"> </w:t>
      </w:r>
      <w:r w:rsidR="00293726" w:rsidRPr="009354FB">
        <w:tab/>
      </w:r>
      <w:r w:rsidR="00AA62E2" w:rsidRPr="009354FB">
        <w:t xml:space="preserve">More than $240.5 </w:t>
      </w:r>
      <w:r w:rsidR="0085078E" w:rsidRPr="009354FB">
        <w:t xml:space="preserve">million </w:t>
      </w:r>
      <w:r w:rsidR="00AA62E2" w:rsidRPr="009354FB">
        <w:t>in compensation was awarded in response to 75,510 complaints being received during 2020</w:t>
      </w:r>
      <w:r w:rsidR="002B06BE" w:rsidRPr="009354FB">
        <w:t>–</w:t>
      </w:r>
      <w:r w:rsidR="0085078E" w:rsidRPr="009354FB">
        <w:t>21. AFCA,</w:t>
      </w:r>
      <w:hyperlink r:id="rId8" w:history="1">
        <w:r w:rsidR="0085078E" w:rsidRPr="009354FB">
          <w:rPr>
            <w:rStyle w:val="Hyperlink"/>
            <w:i/>
            <w:iCs/>
          </w:rPr>
          <w:t xml:space="preserve"> 2020</w:t>
        </w:r>
        <w:r w:rsidR="005629CF" w:rsidRPr="009354FB">
          <w:t>–</w:t>
        </w:r>
        <w:r w:rsidR="0085078E" w:rsidRPr="009354FB">
          <w:rPr>
            <w:rStyle w:val="Hyperlink"/>
            <w:i/>
            <w:iCs/>
          </w:rPr>
          <w:t>21 Annual Review</w:t>
        </w:r>
      </w:hyperlink>
      <w:r w:rsidR="0085078E" w:rsidRPr="009354FB">
        <w:t>, AFCA website, 2021, accessed 21 July 2022, p 4.</w:t>
      </w:r>
    </w:p>
  </w:footnote>
  <w:footnote w:id="20">
    <w:p w14:paraId="4433B21E" w14:textId="09D8F4E2" w:rsidR="00276C83" w:rsidRDefault="00526D0C" w:rsidP="00276C83">
      <w:pPr>
        <w:pStyle w:val="FootnoteText"/>
      </w:pPr>
      <w:r w:rsidRPr="00526D0C">
        <w:rPr>
          <w:rStyle w:val="FootnoteReference"/>
          <w:vertAlign w:val="baseline"/>
        </w:rPr>
        <w:footnoteRef/>
      </w:r>
      <w:r w:rsidR="00276C83">
        <w:t xml:space="preserve"> </w:t>
      </w:r>
      <w:r w:rsidR="006E3E10">
        <w:tab/>
      </w:r>
      <w:r w:rsidR="00920EEC">
        <w:rPr>
          <w:iCs/>
        </w:rPr>
        <w:t>ASIC Act,</w:t>
      </w:r>
      <w:r w:rsidR="00276C83">
        <w:rPr>
          <w:i/>
          <w:iCs/>
        </w:rPr>
        <w:t xml:space="preserve"> </w:t>
      </w:r>
      <w:r w:rsidR="00276C83">
        <w:t>s1(2).</w:t>
      </w:r>
    </w:p>
  </w:footnote>
  <w:footnote w:id="21">
    <w:p w14:paraId="488D660B" w14:textId="35B030FC" w:rsidR="00F7576C" w:rsidRPr="00061194" w:rsidRDefault="00F7576C" w:rsidP="00F7576C">
      <w:pPr>
        <w:ind w:left="397" w:hanging="397"/>
        <w:rPr>
          <w:sz w:val="20"/>
          <w:szCs w:val="18"/>
        </w:rPr>
      </w:pPr>
      <w:r w:rsidRPr="00526D0C">
        <w:rPr>
          <w:rStyle w:val="FootnoteReference"/>
          <w:vertAlign w:val="baseline"/>
        </w:rPr>
        <w:footnoteRef/>
      </w:r>
      <w:r>
        <w:t xml:space="preserve"> </w:t>
      </w:r>
      <w:r>
        <w:tab/>
      </w:r>
      <w:r w:rsidRPr="00061194">
        <w:rPr>
          <w:rFonts w:eastAsia="Calibri" w:cs="Calibri"/>
          <w:sz w:val="20"/>
          <w:szCs w:val="18"/>
        </w:rPr>
        <w:t>The FRAA has been informed by sources including domestic and overseas regulator performance measures and the Government</w:t>
      </w:r>
      <w:r>
        <w:rPr>
          <w:rFonts w:eastAsia="Calibri" w:cs="Calibri"/>
          <w:sz w:val="20"/>
          <w:szCs w:val="18"/>
        </w:rPr>
        <w:t>’</w:t>
      </w:r>
      <w:r w:rsidRPr="00061194">
        <w:rPr>
          <w:rFonts w:eastAsia="Calibri" w:cs="Calibri"/>
          <w:sz w:val="20"/>
          <w:szCs w:val="18"/>
        </w:rPr>
        <w:t xml:space="preserve">s guide for regulator performance including: </w:t>
      </w:r>
      <w:r w:rsidR="006F48D6">
        <w:rPr>
          <w:rFonts w:eastAsia="Calibri" w:cs="Calibri"/>
          <w:sz w:val="20"/>
          <w:szCs w:val="18"/>
        </w:rPr>
        <w:t xml:space="preserve">ASIC, </w:t>
      </w:r>
      <w:hyperlink r:id="rId9" w:history="1">
        <w:r w:rsidRPr="001413D7">
          <w:rPr>
            <w:rStyle w:val="Hyperlink"/>
            <w:rFonts w:eastAsia="Calibri" w:cs="Calibri"/>
            <w:i/>
            <w:sz w:val="20"/>
            <w:szCs w:val="18"/>
          </w:rPr>
          <w:t xml:space="preserve">ASIC </w:t>
        </w:r>
        <w:r>
          <w:rPr>
            <w:rStyle w:val="Hyperlink"/>
            <w:rFonts w:eastAsia="Calibri" w:cs="Calibri"/>
            <w:i/>
            <w:sz w:val="20"/>
            <w:szCs w:val="18"/>
          </w:rPr>
          <w:t>S</w:t>
        </w:r>
        <w:r w:rsidRPr="001413D7">
          <w:rPr>
            <w:rStyle w:val="Hyperlink"/>
            <w:rFonts w:eastAsia="Calibri" w:cs="Calibri"/>
            <w:i/>
            <w:sz w:val="20"/>
            <w:szCs w:val="18"/>
          </w:rPr>
          <w:t xml:space="preserve">ervice </w:t>
        </w:r>
        <w:r>
          <w:rPr>
            <w:rStyle w:val="Hyperlink"/>
            <w:rFonts w:eastAsia="Calibri" w:cs="Calibri"/>
            <w:i/>
            <w:sz w:val="20"/>
            <w:szCs w:val="18"/>
          </w:rPr>
          <w:t>C</w:t>
        </w:r>
        <w:r w:rsidRPr="001413D7">
          <w:rPr>
            <w:rStyle w:val="Hyperlink"/>
            <w:rFonts w:eastAsia="Calibri" w:cs="Calibri"/>
            <w:i/>
            <w:sz w:val="20"/>
            <w:szCs w:val="18"/>
          </w:rPr>
          <w:t>harter</w:t>
        </w:r>
      </w:hyperlink>
      <w:r w:rsidR="006F48D6">
        <w:rPr>
          <w:rFonts w:eastAsia="Calibri" w:cs="Calibri"/>
          <w:sz w:val="20"/>
          <w:szCs w:val="18"/>
        </w:rPr>
        <w:t xml:space="preserve">, ASIC website, 2021, accessed 21 July 2022; APRA, APRA Service Charter, APRA website, n.d., 21 July 2022; Australian Taxation Officer (ATO), </w:t>
      </w:r>
      <w:hyperlink r:id="rId10" w:history="1">
        <w:r w:rsidR="006F48D6" w:rsidRPr="002315F8">
          <w:rPr>
            <w:rStyle w:val="Hyperlink"/>
            <w:rFonts w:eastAsia="Calibri" w:cs="Calibri"/>
            <w:i/>
            <w:iCs/>
            <w:sz w:val="20"/>
            <w:szCs w:val="18"/>
          </w:rPr>
          <w:t>ATO Regulator Performance Framework</w:t>
        </w:r>
      </w:hyperlink>
      <w:r w:rsidR="006F48D6">
        <w:rPr>
          <w:rFonts w:eastAsia="Calibri" w:cs="Calibri"/>
          <w:sz w:val="20"/>
          <w:szCs w:val="18"/>
        </w:rPr>
        <w:t xml:space="preserve">, ATO website, 2022, accessed 21 July 2022; Department of the Prime Minister and Cabinet, </w:t>
      </w:r>
      <w:hyperlink r:id="rId11" w:history="1">
        <w:r w:rsidR="006F48D6" w:rsidRPr="007B4099">
          <w:rPr>
            <w:rStyle w:val="Hyperlink"/>
            <w:rFonts w:eastAsia="Calibri" w:cs="Calibri"/>
            <w:i/>
            <w:iCs/>
            <w:sz w:val="20"/>
            <w:szCs w:val="18"/>
          </w:rPr>
          <w:t>Regulator Performance Guide</w:t>
        </w:r>
      </w:hyperlink>
      <w:r w:rsidR="006F48D6">
        <w:rPr>
          <w:rFonts w:eastAsia="Calibri" w:cs="Calibri"/>
          <w:sz w:val="20"/>
          <w:szCs w:val="18"/>
        </w:rPr>
        <w:t xml:space="preserve">, Australian Government, 2021; IOSCO, </w:t>
      </w:r>
      <w:hyperlink r:id="rId12" w:history="1">
        <w:r w:rsidR="006F48D6" w:rsidRPr="0063135A">
          <w:rPr>
            <w:rStyle w:val="Hyperlink"/>
            <w:rFonts w:eastAsia="Calibri" w:cs="Calibri"/>
            <w:i/>
            <w:iCs/>
            <w:sz w:val="20"/>
            <w:szCs w:val="18"/>
          </w:rPr>
          <w:t>Objectives and Principles of Securities Regulation</w:t>
        </w:r>
      </w:hyperlink>
      <w:r w:rsidR="006F48D6">
        <w:rPr>
          <w:rFonts w:eastAsia="Calibri" w:cs="Calibri"/>
          <w:sz w:val="20"/>
          <w:szCs w:val="18"/>
        </w:rPr>
        <w:t xml:space="preserve">, IOSCO website, 2003, accessed 21 July 2022; FCA, </w:t>
      </w:r>
      <w:hyperlink r:id="rId13" w:history="1">
        <w:r w:rsidR="006F48D6" w:rsidRPr="008422AA">
          <w:rPr>
            <w:rStyle w:val="Hyperlink"/>
            <w:rFonts w:eastAsia="Calibri" w:cs="Calibri"/>
            <w:i/>
            <w:iCs/>
            <w:sz w:val="20"/>
            <w:szCs w:val="18"/>
          </w:rPr>
          <w:t>Annual Report and Accounts 2020–21</w:t>
        </w:r>
      </w:hyperlink>
      <w:r w:rsidR="006F48D6">
        <w:rPr>
          <w:rFonts w:eastAsia="Calibri" w:cs="Calibri"/>
          <w:sz w:val="20"/>
          <w:szCs w:val="18"/>
        </w:rPr>
        <w:t xml:space="preserve">, FCA website, 2021, accessed 21 July 2022; HM Treasury, </w:t>
      </w:r>
      <w:hyperlink r:id="rId14" w:history="1">
        <w:r w:rsidR="006F48D6" w:rsidRPr="00C94334">
          <w:rPr>
            <w:rStyle w:val="Hyperlink"/>
            <w:rFonts w:eastAsia="Calibri" w:cs="Calibri"/>
            <w:i/>
            <w:iCs/>
            <w:sz w:val="20"/>
            <w:szCs w:val="18"/>
          </w:rPr>
          <w:t>Financial Services Future Regulatory Framework Review: Proposals for Reform</w:t>
        </w:r>
      </w:hyperlink>
      <w:r w:rsidR="006F48D6">
        <w:rPr>
          <w:rFonts w:eastAsia="Calibri" w:cs="Calibri"/>
          <w:sz w:val="20"/>
          <w:szCs w:val="18"/>
        </w:rPr>
        <w:t>, HM Treasury website, 2021, accessed 21 July 2022.</w:t>
      </w:r>
      <w:r w:rsidR="006F48D6" w:rsidRPr="00061194">
        <w:rPr>
          <w:rStyle w:val="Hyperlink"/>
          <w:sz w:val="20"/>
          <w:szCs w:val="18"/>
        </w:rPr>
        <w:t xml:space="preserve"> </w:t>
      </w:r>
      <w:r w:rsidRPr="00061194">
        <w:rPr>
          <w:rStyle w:val="Hyperlink"/>
          <w:sz w:val="20"/>
          <w:szCs w:val="18"/>
        </w:rPr>
        <w:t xml:space="preserve"> </w:t>
      </w:r>
    </w:p>
  </w:footnote>
  <w:footnote w:id="22">
    <w:p w14:paraId="5945DB19" w14:textId="49B32182" w:rsidR="003D2711" w:rsidRDefault="00526D0C" w:rsidP="003D2711">
      <w:pPr>
        <w:pStyle w:val="FootnoteText"/>
      </w:pPr>
      <w:r w:rsidRPr="00526D0C">
        <w:rPr>
          <w:rStyle w:val="FootnoteReference"/>
          <w:vertAlign w:val="baseline"/>
        </w:rPr>
        <w:footnoteRef/>
      </w:r>
      <w:r w:rsidR="00E416C7">
        <w:t xml:space="preserve"> </w:t>
      </w:r>
      <w:r w:rsidR="00293726">
        <w:tab/>
      </w:r>
      <w:r w:rsidR="00755BC1">
        <w:t xml:space="preserve">S Wallis, </w:t>
      </w:r>
      <w:r w:rsidR="0019018C">
        <w:t>B Beerworth, J Carmichael, I Harper and L Nicholls</w:t>
      </w:r>
      <w:r w:rsidR="00755BC1">
        <w:t xml:space="preserve">, </w:t>
      </w:r>
      <w:r w:rsidR="00E416C7" w:rsidRPr="000D7575">
        <w:rPr>
          <w:i/>
        </w:rPr>
        <w:t xml:space="preserve">Financial System Inquiry </w:t>
      </w:r>
      <w:r w:rsidR="00E416C7" w:rsidRPr="003273E9">
        <w:rPr>
          <w:i/>
          <w:iCs/>
        </w:rPr>
        <w:t>Final Report</w:t>
      </w:r>
      <w:r w:rsidR="00E416C7">
        <w:t xml:space="preserve">, </w:t>
      </w:r>
      <w:r w:rsidR="00755BC1">
        <w:t xml:space="preserve">Australian Government, 1997, </w:t>
      </w:r>
      <w:r w:rsidR="00E416C7">
        <w:t>p 31</w:t>
      </w:r>
      <w:r w:rsidR="008C0C19">
        <w:t>.</w:t>
      </w:r>
    </w:p>
  </w:footnote>
  <w:footnote w:id="23">
    <w:p w14:paraId="58FB2865" w14:textId="66D1DDBF" w:rsidR="003D2711" w:rsidRDefault="00526D0C" w:rsidP="003D2711">
      <w:pPr>
        <w:pStyle w:val="FootnoteText"/>
      </w:pPr>
      <w:r w:rsidRPr="00526D0C">
        <w:rPr>
          <w:rStyle w:val="FootnoteReference"/>
          <w:vertAlign w:val="baseline"/>
        </w:rPr>
        <w:footnoteRef/>
      </w:r>
      <w:r w:rsidR="003D2711">
        <w:t xml:space="preserve"> </w:t>
      </w:r>
      <w:r w:rsidR="00293726">
        <w:tab/>
      </w:r>
      <w:r w:rsidR="003D2711">
        <w:t xml:space="preserve">ASIC also administers the </w:t>
      </w:r>
      <w:r w:rsidR="003D2711">
        <w:rPr>
          <w:i/>
          <w:iCs/>
        </w:rPr>
        <w:t xml:space="preserve">Business Names Registration Act 2001, Insurance Contracts Act 1984, </w:t>
      </w:r>
      <w:r w:rsidR="001C0A77" w:rsidRPr="007446DC">
        <w:t>NCCP</w:t>
      </w:r>
      <w:r w:rsidR="003D2711" w:rsidRPr="007446DC">
        <w:t xml:space="preserve"> Act</w:t>
      </w:r>
      <w:r w:rsidR="003D2711">
        <w:t xml:space="preserve">; and parts of the </w:t>
      </w:r>
      <w:r w:rsidR="003D2711">
        <w:rPr>
          <w:i/>
          <w:iCs/>
        </w:rPr>
        <w:t>Banking Act 1959, Life Insurance Act 1995, Medical Indemnity (Prudential Supervision and Product Standards) Act 2003, Retirement Savings Accounts Act 1997, Superannuation (Resolution and Complaints Act) 1993</w:t>
      </w:r>
      <w:r w:rsidR="003D2711">
        <w:t xml:space="preserve"> and </w:t>
      </w:r>
      <w:r w:rsidR="003D2711" w:rsidRPr="00AC1681">
        <w:rPr>
          <w:i/>
          <w:iCs/>
        </w:rPr>
        <w:t xml:space="preserve">Superannuation Industry (Supervision) </w:t>
      </w:r>
      <w:r w:rsidR="003D2711" w:rsidRPr="00724C2E">
        <w:rPr>
          <w:i/>
          <w:iCs/>
        </w:rPr>
        <w:t>Act 1993</w:t>
      </w:r>
      <w:r w:rsidR="003D2711">
        <w:t>.</w:t>
      </w:r>
    </w:p>
  </w:footnote>
  <w:footnote w:id="24">
    <w:p w14:paraId="36498F9F" w14:textId="5D4484FB" w:rsidR="003D2711" w:rsidRDefault="00526D0C" w:rsidP="003D2711">
      <w:pPr>
        <w:pStyle w:val="FootnoteText"/>
      </w:pPr>
      <w:r w:rsidRPr="00526D0C">
        <w:rPr>
          <w:rStyle w:val="FootnoteReference"/>
          <w:vertAlign w:val="baseline"/>
        </w:rPr>
        <w:footnoteRef/>
      </w:r>
      <w:r w:rsidR="005D3344">
        <w:t xml:space="preserve"> </w:t>
      </w:r>
      <w:r w:rsidR="00293726">
        <w:tab/>
      </w:r>
      <w:r w:rsidR="008A3B3C">
        <w:t>ASIC</w:t>
      </w:r>
      <w:r w:rsidR="005D3344" w:rsidRPr="00F24111">
        <w:t xml:space="preserve"> Act</w:t>
      </w:r>
      <w:r w:rsidR="008A3B3C">
        <w:t>,</w:t>
      </w:r>
      <w:r w:rsidR="005D3344">
        <w:t xml:space="preserve"> s 12A(2) and (3)</w:t>
      </w:r>
      <w:r w:rsidR="008C0C19">
        <w:t>.</w:t>
      </w:r>
    </w:p>
  </w:footnote>
  <w:footnote w:id="25">
    <w:p w14:paraId="3F1793F0" w14:textId="5D00618E" w:rsidR="003D2711" w:rsidRDefault="00526D0C" w:rsidP="003D2711">
      <w:pPr>
        <w:pStyle w:val="FootnoteText"/>
      </w:pPr>
      <w:r w:rsidRPr="00526D0C">
        <w:rPr>
          <w:rStyle w:val="FootnoteReference"/>
          <w:vertAlign w:val="baseline"/>
        </w:rPr>
        <w:footnoteRef/>
      </w:r>
      <w:r w:rsidR="005D3344">
        <w:t xml:space="preserve"> </w:t>
      </w:r>
      <w:r w:rsidR="00293726">
        <w:tab/>
      </w:r>
      <w:r w:rsidR="008A3B3C">
        <w:t>ASIC</w:t>
      </w:r>
      <w:r w:rsidR="005D3344" w:rsidRPr="00F24111">
        <w:t xml:space="preserve"> Act</w:t>
      </w:r>
      <w:r w:rsidR="005D3344">
        <w:t>, s 1(2)</w:t>
      </w:r>
      <w:r w:rsidR="008C0C19">
        <w:t>.</w:t>
      </w:r>
    </w:p>
  </w:footnote>
  <w:footnote w:id="26">
    <w:p w14:paraId="4E13C32B" w14:textId="600B9DBD" w:rsidR="00474AAE" w:rsidRDefault="00526D0C" w:rsidP="00474AAE">
      <w:pPr>
        <w:pStyle w:val="FootnoteText"/>
      </w:pPr>
      <w:r w:rsidRPr="00526D0C">
        <w:rPr>
          <w:rStyle w:val="FootnoteReference"/>
          <w:vertAlign w:val="baseline"/>
        </w:rPr>
        <w:footnoteRef/>
      </w:r>
      <w:r w:rsidR="00474AAE">
        <w:t xml:space="preserve"> </w:t>
      </w:r>
      <w:r w:rsidR="0025780A">
        <w:tab/>
      </w:r>
      <w:r w:rsidR="00474AAE" w:rsidRPr="00474AAE">
        <w:t>Note</w:t>
      </w:r>
      <w:r w:rsidR="00272EB1">
        <w:t>:</w:t>
      </w:r>
      <w:r w:rsidR="00B909DD">
        <w:t xml:space="preserve"> </w:t>
      </w:r>
      <w:r w:rsidR="00474AAE" w:rsidRPr="00474AAE">
        <w:t>this chart is a visual aid and has been simplified for clarity. Areas of responsibility as based on Australia</w:t>
      </w:r>
      <w:r w:rsidR="00EF40B0">
        <w:t>’</w:t>
      </w:r>
      <w:r w:rsidR="00474AAE" w:rsidRPr="00474AAE">
        <w:t>s regulatory framework and may not precisely align with frameworks adopted in other jurisdictions. The RBA has responsibility for payment systems and APRA for prudential regulation. In Australia, the ACCC is the primary competition regulator, but ASIC is required to have regard to competition issues.</w:t>
      </w:r>
    </w:p>
  </w:footnote>
  <w:footnote w:id="27">
    <w:p w14:paraId="06933B7A" w14:textId="4E71C06A" w:rsidR="003D2711" w:rsidRDefault="00526D0C" w:rsidP="003D2711">
      <w:pPr>
        <w:pStyle w:val="FootnoteText"/>
      </w:pPr>
      <w:r w:rsidRPr="00526D0C">
        <w:rPr>
          <w:rStyle w:val="FootnoteReference"/>
          <w:vertAlign w:val="baseline"/>
        </w:rPr>
        <w:footnoteRef/>
      </w:r>
      <w:r w:rsidR="003D2711">
        <w:t xml:space="preserve"> </w:t>
      </w:r>
      <w:r w:rsidR="00293726">
        <w:tab/>
      </w:r>
      <w:r w:rsidR="003D2711">
        <w:t xml:space="preserve">ASIC, </w:t>
      </w:r>
      <w:r w:rsidR="003D2711" w:rsidRPr="00304102">
        <w:rPr>
          <w:i/>
        </w:rPr>
        <w:t>Annual Report 2020</w:t>
      </w:r>
      <w:r w:rsidR="009F7168">
        <w:t>–</w:t>
      </w:r>
      <w:r w:rsidR="003D2711" w:rsidRPr="00304102">
        <w:rPr>
          <w:i/>
        </w:rPr>
        <w:t>21</w:t>
      </w:r>
      <w:r w:rsidR="003D2711">
        <w:t xml:space="preserve">, </w:t>
      </w:r>
      <w:r w:rsidR="00A43DB5">
        <w:t xml:space="preserve">2021, </w:t>
      </w:r>
      <w:r w:rsidR="003D2711">
        <w:t>p 223</w:t>
      </w:r>
      <w:r w:rsidR="00A43DB5">
        <w:t>.</w:t>
      </w:r>
    </w:p>
  </w:footnote>
  <w:footnote w:id="28">
    <w:p w14:paraId="595D7044" w14:textId="3F919CCE" w:rsidR="003D2711" w:rsidRDefault="00526D0C" w:rsidP="003D2711">
      <w:pPr>
        <w:pStyle w:val="FootnoteText"/>
      </w:pPr>
      <w:r w:rsidRPr="00526D0C">
        <w:rPr>
          <w:rStyle w:val="FootnoteReference"/>
          <w:vertAlign w:val="baseline"/>
        </w:rPr>
        <w:footnoteRef/>
      </w:r>
      <w:r w:rsidR="005D3344">
        <w:t xml:space="preserve"> </w:t>
      </w:r>
      <w:r w:rsidR="00293726">
        <w:tab/>
      </w:r>
      <w:r w:rsidR="005D3344">
        <w:t xml:space="preserve">Average staffing level </w:t>
      </w:r>
      <w:r w:rsidR="005D3344" w:rsidRPr="00117140">
        <w:t>adjusts for casual and part</w:t>
      </w:r>
      <w:r w:rsidR="00EF40B0">
        <w:noBreakHyphen/>
      </w:r>
      <w:r w:rsidR="005D3344" w:rsidRPr="00117140">
        <w:t>time staff in order to show the average number of full</w:t>
      </w:r>
      <w:r w:rsidR="00EF40B0">
        <w:noBreakHyphen/>
      </w:r>
      <w:r w:rsidR="005D3344" w:rsidRPr="00117140">
        <w:t>time equivalent employees</w:t>
      </w:r>
      <w:r w:rsidR="005D3344">
        <w:t xml:space="preserve"> and</w:t>
      </w:r>
      <w:r w:rsidR="005D3344" w:rsidRPr="00117140">
        <w:t xml:space="preserve"> is almost always a lower figure than a headcount of employees</w:t>
      </w:r>
      <w:r w:rsidR="005D3344">
        <w:t xml:space="preserve">. </w:t>
      </w:r>
    </w:p>
  </w:footnote>
  <w:footnote w:id="29">
    <w:p w14:paraId="70A8BC56" w14:textId="2D21D136" w:rsidR="003D2711" w:rsidRDefault="00526D0C" w:rsidP="003D2711">
      <w:pPr>
        <w:pStyle w:val="FootnoteText"/>
      </w:pPr>
      <w:r w:rsidRPr="00526D0C">
        <w:rPr>
          <w:rStyle w:val="FootnoteReference"/>
          <w:vertAlign w:val="baseline"/>
        </w:rPr>
        <w:footnoteRef/>
      </w:r>
      <w:r w:rsidR="005D3344">
        <w:t xml:space="preserve"> </w:t>
      </w:r>
      <w:r w:rsidR="00293726">
        <w:tab/>
      </w:r>
      <w:r w:rsidR="009729C9">
        <w:t xml:space="preserve">Australian Government, </w:t>
      </w:r>
      <w:r w:rsidR="009729C9" w:rsidRPr="00DF495E">
        <w:rPr>
          <w:i/>
        </w:rPr>
        <w:t>Portfolio Budget Statements 2022</w:t>
      </w:r>
      <w:r w:rsidR="009F7168">
        <w:t>–</w:t>
      </w:r>
      <w:r w:rsidR="009729C9" w:rsidRPr="00DF495E">
        <w:rPr>
          <w:i/>
        </w:rPr>
        <w:t>23</w:t>
      </w:r>
      <w:r w:rsidR="009729C9">
        <w:rPr>
          <w:i/>
        </w:rPr>
        <w:t xml:space="preserve"> Treasury Portfolio</w:t>
      </w:r>
      <w:r w:rsidR="009729C9">
        <w:t>, Australian Government, 2022, pp. 144, 160.</w:t>
      </w:r>
    </w:p>
  </w:footnote>
  <w:footnote w:id="30">
    <w:p w14:paraId="144E3511" w14:textId="50324CD8" w:rsidR="003D2711" w:rsidRDefault="00526D0C" w:rsidP="003D2711">
      <w:pPr>
        <w:pStyle w:val="FootnoteText"/>
      </w:pPr>
      <w:r w:rsidRPr="00526D0C">
        <w:rPr>
          <w:rStyle w:val="FootnoteReference"/>
          <w:vertAlign w:val="baseline"/>
        </w:rPr>
        <w:footnoteRef/>
      </w:r>
      <w:r w:rsidR="003D2711">
        <w:t xml:space="preserve"> </w:t>
      </w:r>
      <w:r w:rsidR="00293726">
        <w:tab/>
      </w:r>
      <w:r w:rsidR="003D2711" w:rsidRPr="00EC5AB4">
        <w:t>The expenditure in excess of ASIC</w:t>
      </w:r>
      <w:r w:rsidR="00EF40B0">
        <w:t>’</w:t>
      </w:r>
      <w:r w:rsidR="003D2711" w:rsidRPr="00EC5AB4">
        <w:t>s appropriation revenue relates to revenue received from other agencies, as well as own source revenue such as court recoveries.</w:t>
      </w:r>
      <w:r w:rsidR="003D2711">
        <w:t xml:space="preserve"> </w:t>
      </w:r>
    </w:p>
  </w:footnote>
  <w:footnote w:id="31">
    <w:p w14:paraId="4915BFE2" w14:textId="1D0854ED" w:rsidR="00363A4B" w:rsidRPr="00363A4B" w:rsidRDefault="00526D0C">
      <w:pPr>
        <w:pStyle w:val="FootnoteText"/>
      </w:pPr>
      <w:r w:rsidRPr="00526D0C">
        <w:rPr>
          <w:rStyle w:val="FootnoteReference"/>
          <w:vertAlign w:val="baseline"/>
        </w:rPr>
        <w:footnoteRef/>
      </w:r>
      <w:r w:rsidR="00363A4B" w:rsidRPr="00363A4B">
        <w:t xml:space="preserve"> </w:t>
      </w:r>
      <w:r w:rsidR="00386ACA">
        <w:tab/>
      </w:r>
      <w:r w:rsidR="00363A4B">
        <w:t>For ASIC</w:t>
      </w:r>
      <w:r w:rsidR="00EF40B0">
        <w:t>’</w:t>
      </w:r>
      <w:r w:rsidR="00363A4B">
        <w:t xml:space="preserve">s internal allocation of </w:t>
      </w:r>
      <w:r w:rsidR="00A1184D">
        <w:t xml:space="preserve">total </w:t>
      </w:r>
      <w:r w:rsidR="00363A4B">
        <w:t xml:space="preserve">funding by </w:t>
      </w:r>
      <w:r w:rsidR="003549D4" w:rsidRPr="003549D4">
        <w:t>regulatory and operational teams</w:t>
      </w:r>
      <w:r w:rsidR="00363A4B">
        <w:t xml:space="preserve"> refer </w:t>
      </w:r>
      <w:r w:rsidR="00496C1A">
        <w:t xml:space="preserve">paragraph </w:t>
      </w:r>
      <w:r w:rsidR="007E50E1">
        <w:t>1.9</w:t>
      </w:r>
      <w:r w:rsidR="00EF40B0">
        <w:t xml:space="preserve">. </w:t>
      </w:r>
      <w:r w:rsidR="00363A4B" w:rsidRPr="00363A4B">
        <w:t xml:space="preserve">  </w:t>
      </w:r>
    </w:p>
  </w:footnote>
  <w:footnote w:id="32">
    <w:p w14:paraId="6EF3BCEC" w14:textId="1BB4961B" w:rsidR="003D2711" w:rsidRDefault="00526D0C" w:rsidP="003D2711">
      <w:pPr>
        <w:pStyle w:val="FootnoteText"/>
      </w:pPr>
      <w:r w:rsidRPr="00526D0C">
        <w:rPr>
          <w:rStyle w:val="FootnoteReference"/>
          <w:vertAlign w:val="baseline"/>
        </w:rPr>
        <w:footnoteRef/>
      </w:r>
      <w:r w:rsidR="003D2711">
        <w:t xml:space="preserve"> </w:t>
      </w:r>
      <w:r w:rsidR="00293726">
        <w:tab/>
      </w:r>
      <w:r w:rsidR="00816C72">
        <w:t xml:space="preserve">ASIC, </w:t>
      </w:r>
      <w:r w:rsidR="00816C72" w:rsidRPr="0039617D">
        <w:rPr>
          <w:i/>
          <w:iCs/>
        </w:rPr>
        <w:t>Cost Recovery Implementation Statement: ASIC industry funding model (2021</w:t>
      </w:r>
      <w:r w:rsidR="009F7168">
        <w:t>–</w:t>
      </w:r>
      <w:r w:rsidR="00816C72" w:rsidRPr="0039617D">
        <w:rPr>
          <w:i/>
          <w:iCs/>
        </w:rPr>
        <w:t>22)</w:t>
      </w:r>
      <w:r w:rsidR="00816C72">
        <w:t>, ASIC, 2022, p 12</w:t>
      </w:r>
      <w:r w:rsidR="00EF40B0">
        <w:t xml:space="preserve">. </w:t>
      </w:r>
    </w:p>
  </w:footnote>
  <w:footnote w:id="33">
    <w:p w14:paraId="17A38BD1" w14:textId="168DB91D" w:rsidR="003D2711" w:rsidRDefault="00526D0C" w:rsidP="003D2711">
      <w:pPr>
        <w:pStyle w:val="FootnoteText"/>
      </w:pPr>
      <w:r w:rsidRPr="00526D0C">
        <w:rPr>
          <w:rStyle w:val="FootnoteReference"/>
          <w:vertAlign w:val="baseline"/>
        </w:rPr>
        <w:footnoteRef/>
      </w:r>
      <w:r w:rsidR="003D2711">
        <w:t xml:space="preserve"> </w:t>
      </w:r>
      <w:r w:rsidR="00293726">
        <w:tab/>
      </w:r>
      <w:r w:rsidR="009F570A">
        <w:t>Additionally</w:t>
      </w:r>
      <w:r w:rsidR="003D2711">
        <w:t xml:space="preserve">, ASIC did not </w:t>
      </w:r>
      <w:r w:rsidR="003D2711" w:rsidRPr="000E5936">
        <w:t xml:space="preserve">recover $34 million with respect to the personal advice subsector due to the temporary relief granted to this subsector </w:t>
      </w:r>
      <w:r w:rsidR="009F570A" w:rsidRPr="000E5936">
        <w:t>in 2020</w:t>
      </w:r>
      <w:r w:rsidR="00F51F33" w:rsidRPr="000E5936">
        <w:t>–</w:t>
      </w:r>
      <w:r w:rsidR="009F570A" w:rsidRPr="000E5936">
        <w:t xml:space="preserve">21 (refer </w:t>
      </w:r>
      <w:hyperlink r:id="rId15" w:history="1">
        <w:r w:rsidR="009F570A" w:rsidRPr="000E5936">
          <w:rPr>
            <w:rStyle w:val="Hyperlink"/>
          </w:rPr>
          <w:t>Mid</w:t>
        </w:r>
        <w:r w:rsidR="00EF40B0">
          <w:rPr>
            <w:rStyle w:val="Hyperlink"/>
          </w:rPr>
          <w:noBreakHyphen/>
        </w:r>
        <w:r w:rsidR="009F570A" w:rsidRPr="000E5936">
          <w:rPr>
            <w:rStyle w:val="Hyperlink"/>
          </w:rPr>
          <w:t xml:space="preserve">Year Economic and Fiscal Outlook </w:t>
        </w:r>
        <w:r w:rsidR="00002267">
          <w:rPr>
            <w:rStyle w:val="Hyperlink"/>
          </w:rPr>
          <w:br/>
        </w:r>
        <w:r w:rsidR="009F570A" w:rsidRPr="000E5936">
          <w:rPr>
            <w:rStyle w:val="Hyperlink"/>
          </w:rPr>
          <w:t>2021</w:t>
        </w:r>
        <w:r w:rsidR="009F7168" w:rsidRPr="000E5936">
          <w:t>–</w:t>
        </w:r>
        <w:r w:rsidR="009F570A" w:rsidRPr="000E5936">
          <w:rPr>
            <w:rStyle w:val="Hyperlink"/>
          </w:rPr>
          <w:t>22</w:t>
        </w:r>
      </w:hyperlink>
      <w:r w:rsidR="00340DCC" w:rsidRPr="000E5936">
        <w:rPr>
          <w:rStyle w:val="Hyperlink"/>
          <w:rFonts w:eastAsiaTheme="majorEastAsia"/>
        </w:rPr>
        <w:t>,</w:t>
      </w:r>
      <w:r w:rsidR="00E416C7" w:rsidRPr="000E5936">
        <w:t xml:space="preserve"> measure </w:t>
      </w:r>
      <w:r w:rsidR="00EF40B0">
        <w:t>‘</w:t>
      </w:r>
      <w:r w:rsidR="00E416C7" w:rsidRPr="000E5936">
        <w:rPr>
          <w:i/>
          <w:iCs/>
        </w:rPr>
        <w:t xml:space="preserve">ASIC Industry Levies – fee </w:t>
      </w:r>
      <w:r w:rsidR="00E416C7">
        <w:rPr>
          <w:i/>
          <w:iCs/>
        </w:rPr>
        <w:t>relief</w:t>
      </w:r>
      <w:r w:rsidR="00EF40B0">
        <w:rPr>
          <w:i/>
          <w:iCs/>
        </w:rPr>
        <w:t>’</w:t>
      </w:r>
      <w:r w:rsidR="00E416C7">
        <w:t>)</w:t>
      </w:r>
      <w:r w:rsidR="00D974AC">
        <w:t>.</w:t>
      </w:r>
    </w:p>
  </w:footnote>
  <w:footnote w:id="34">
    <w:p w14:paraId="3DC7A046" w14:textId="7BF5CAD9" w:rsidR="003F5348" w:rsidRDefault="00526D0C">
      <w:pPr>
        <w:pStyle w:val="FootnoteText"/>
      </w:pPr>
      <w:r w:rsidRPr="00526D0C">
        <w:rPr>
          <w:rStyle w:val="FootnoteReference"/>
          <w:vertAlign w:val="baseline"/>
        </w:rPr>
        <w:footnoteRef/>
      </w:r>
      <w:r w:rsidR="003F5348">
        <w:t xml:space="preserve"> </w:t>
      </w:r>
      <w:r w:rsidR="00496CCB">
        <w:tab/>
      </w:r>
      <w:r w:rsidR="00C01430" w:rsidRPr="00C01430">
        <w:t>Note that the ASL counts, as reported in the Portfolio Budget Statements 2022</w:t>
      </w:r>
      <w:r w:rsidR="005B75C1">
        <w:t>–</w:t>
      </w:r>
      <w:r w:rsidR="00C01430" w:rsidRPr="00C01430">
        <w:t>23 Treasury Portfolio, are an estimated forecast for the upcoming year. Cost recovery and statutory levies were both introduced in 2017</w:t>
      </w:r>
      <w:r w:rsidR="005B75C1">
        <w:t>–</w:t>
      </w:r>
      <w:r w:rsidR="00C01430" w:rsidRPr="00C01430">
        <w:t>18 and fees</w:t>
      </w:r>
      <w:r w:rsidR="00EF40B0">
        <w:noBreakHyphen/>
      </w:r>
      <w:r w:rsidR="00C01430" w:rsidRPr="00C01430">
        <w:t>for</w:t>
      </w:r>
      <w:r w:rsidR="00EF40B0">
        <w:noBreakHyphen/>
      </w:r>
      <w:r w:rsidR="00C01430" w:rsidRPr="00C01430">
        <w:t>service was introduced in 2018</w:t>
      </w:r>
      <w:r w:rsidR="005B75C1">
        <w:t>–</w:t>
      </w:r>
      <w:r w:rsidR="00C01430" w:rsidRPr="00C01430">
        <w:t>19. The 2021</w:t>
      </w:r>
      <w:r w:rsidR="005B75C1">
        <w:t>–</w:t>
      </w:r>
      <w:r w:rsidR="00C01430" w:rsidRPr="00C01430">
        <w:t>22 IFM figures are indicative only.</w:t>
      </w:r>
    </w:p>
  </w:footnote>
  <w:footnote w:id="35">
    <w:p w14:paraId="22136DC6" w14:textId="45DF17E3" w:rsidR="00F17939" w:rsidRPr="00140678" w:rsidRDefault="00526D0C">
      <w:pPr>
        <w:pStyle w:val="FootnoteText"/>
      </w:pPr>
      <w:r w:rsidRPr="00526D0C">
        <w:rPr>
          <w:rStyle w:val="FootnoteReference"/>
          <w:vertAlign w:val="baseline"/>
        </w:rPr>
        <w:footnoteRef/>
      </w:r>
      <w:r w:rsidR="00F17939">
        <w:t xml:space="preserve"> </w:t>
      </w:r>
      <w:r w:rsidR="00293726">
        <w:tab/>
      </w:r>
      <w:r w:rsidR="00F17939" w:rsidRPr="00140678">
        <w:t>Under the ASIC Act s 9 the Commission is to consist of no fewer than 3 and no more than 8 members.</w:t>
      </w:r>
    </w:p>
  </w:footnote>
  <w:footnote w:id="36">
    <w:p w14:paraId="73486B98" w14:textId="6F314557" w:rsidR="00E26C84" w:rsidRPr="00140678" w:rsidRDefault="00526D0C" w:rsidP="00E26C84">
      <w:pPr>
        <w:pStyle w:val="FootnoteText"/>
      </w:pPr>
      <w:r w:rsidRPr="00526D0C">
        <w:rPr>
          <w:rStyle w:val="FootnoteReference"/>
          <w:vertAlign w:val="baseline"/>
        </w:rPr>
        <w:footnoteRef/>
      </w:r>
      <w:r w:rsidR="004C4B0B" w:rsidRPr="00140678">
        <w:t xml:space="preserve"> </w:t>
      </w:r>
      <w:r w:rsidR="00293726" w:rsidRPr="00140678">
        <w:tab/>
      </w:r>
      <w:r w:rsidR="004C4B0B" w:rsidRPr="00140678">
        <w:t xml:space="preserve">ASIC, </w:t>
      </w:r>
      <w:hyperlink r:id="rId16" w:history="1">
        <w:r w:rsidR="004C4B0B" w:rsidRPr="00140678">
          <w:rPr>
            <w:rStyle w:val="Hyperlink"/>
            <w:i/>
          </w:rPr>
          <w:t>Statement of Intent: Australian Securities and Investments Commission – August 2021</w:t>
        </w:r>
      </w:hyperlink>
      <w:r w:rsidR="005743DA" w:rsidRPr="00140678">
        <w:t xml:space="preserve">, </w:t>
      </w:r>
      <w:r w:rsidR="002A093B">
        <w:t xml:space="preserve">ASIC website, 2021, </w:t>
      </w:r>
      <w:r w:rsidR="005743DA" w:rsidRPr="00140678">
        <w:t>accessed 27</w:t>
      </w:r>
      <w:r w:rsidR="00BF56E8">
        <w:t> </w:t>
      </w:r>
      <w:r w:rsidR="005743DA" w:rsidRPr="00140678">
        <w:t>July 2022.</w:t>
      </w:r>
    </w:p>
  </w:footnote>
  <w:footnote w:id="37">
    <w:p w14:paraId="3C54A526" w14:textId="11CEDCA8" w:rsidR="00E26C84" w:rsidRDefault="00526D0C" w:rsidP="00E26C84">
      <w:pPr>
        <w:pStyle w:val="FootnoteText"/>
      </w:pPr>
      <w:r w:rsidRPr="00526D0C">
        <w:rPr>
          <w:rStyle w:val="FootnoteReference"/>
          <w:vertAlign w:val="baseline"/>
        </w:rPr>
        <w:footnoteRef/>
      </w:r>
      <w:r w:rsidR="00E26C84" w:rsidRPr="00140678">
        <w:t xml:space="preserve"> </w:t>
      </w:r>
      <w:r w:rsidR="00293726" w:rsidRPr="00140678">
        <w:tab/>
      </w:r>
      <w:r w:rsidR="00E26C84" w:rsidRPr="00140678">
        <w:t>ASIC</w:t>
      </w:r>
      <w:r w:rsidR="00EF40B0">
        <w:t>’</w:t>
      </w:r>
      <w:r w:rsidR="00E26C84" w:rsidRPr="00140678">
        <w:t xml:space="preserve">s </w:t>
      </w:r>
      <w:r w:rsidR="00331D11" w:rsidRPr="00140678">
        <w:t>G</w:t>
      </w:r>
      <w:r w:rsidR="00E26C84" w:rsidRPr="00140678">
        <w:t xml:space="preserve">roups (or divisions) </w:t>
      </w:r>
      <w:r w:rsidR="00734417" w:rsidRPr="00140678">
        <w:t xml:space="preserve">as at </w:t>
      </w:r>
      <w:r w:rsidR="00D804B5" w:rsidRPr="00140678">
        <w:t>July 2021</w:t>
      </w:r>
      <w:r w:rsidR="00D85F4C" w:rsidRPr="00140678">
        <w:t xml:space="preserve"> </w:t>
      </w:r>
      <w:r w:rsidR="00E24513" w:rsidRPr="00140678">
        <w:t>were</w:t>
      </w:r>
      <w:r w:rsidR="00E26C84" w:rsidRPr="00140678">
        <w:t xml:space="preserve"> Financial Services </w:t>
      </w:r>
      <w:r w:rsidR="00F60640" w:rsidRPr="00140678">
        <w:t>and</w:t>
      </w:r>
      <w:r w:rsidR="00E26C84" w:rsidRPr="00140678">
        <w:t xml:space="preserve"> Wealth</w:t>
      </w:r>
      <w:r w:rsidR="00C07237" w:rsidRPr="00140678">
        <w:t>;</w:t>
      </w:r>
      <w:r w:rsidR="00E26C84" w:rsidRPr="00140678">
        <w:t xml:space="preserve"> Financial Services Enforcement</w:t>
      </w:r>
      <w:r w:rsidR="00C07237" w:rsidRPr="00140678">
        <w:t>;</w:t>
      </w:r>
      <w:r w:rsidR="00E26C84" w:rsidRPr="00140678">
        <w:t xml:space="preserve"> Markets</w:t>
      </w:r>
      <w:r w:rsidR="00C07237" w:rsidRPr="00140678">
        <w:t>;</w:t>
      </w:r>
      <w:r w:rsidR="00E26C84" w:rsidRPr="00140678">
        <w:t xml:space="preserve"> Markets Enforcements</w:t>
      </w:r>
      <w:r w:rsidR="00C07237" w:rsidRPr="00140678">
        <w:t>;</w:t>
      </w:r>
      <w:r w:rsidR="00E26C84" w:rsidRPr="00140678">
        <w:t xml:space="preserve"> Supervision</w:t>
      </w:r>
      <w:r w:rsidR="00C07237" w:rsidRPr="00140678">
        <w:t>;</w:t>
      </w:r>
      <w:r w:rsidR="00E26C84" w:rsidRPr="00140678">
        <w:t xml:space="preserve"> Chief Legal Office</w:t>
      </w:r>
      <w:r w:rsidR="00C07237" w:rsidRPr="00140678">
        <w:t>;</w:t>
      </w:r>
      <w:r w:rsidR="00E26C84" w:rsidRPr="00140678">
        <w:t xml:space="preserve"> Strategy</w:t>
      </w:r>
      <w:r w:rsidR="00734417" w:rsidRPr="00140678">
        <w:t>;</w:t>
      </w:r>
      <w:r w:rsidR="00E26C84" w:rsidRPr="00140678">
        <w:t xml:space="preserve"> Communications</w:t>
      </w:r>
      <w:r w:rsidR="00734417" w:rsidRPr="00140678">
        <w:t>;</w:t>
      </w:r>
      <w:r w:rsidR="00E26C84" w:rsidRPr="00140678">
        <w:t xml:space="preserve"> Risk </w:t>
      </w:r>
      <w:r w:rsidR="00F60640" w:rsidRPr="00140678">
        <w:t>and</w:t>
      </w:r>
      <w:r w:rsidR="00E26C84" w:rsidRPr="00140678">
        <w:t xml:space="preserve"> Integrity</w:t>
      </w:r>
      <w:r w:rsidR="00734417" w:rsidRPr="00140678">
        <w:t>;</w:t>
      </w:r>
      <w:r w:rsidR="00E26C84" w:rsidRPr="00140678">
        <w:t xml:space="preserve"> and Operations.</w:t>
      </w:r>
    </w:p>
  </w:footnote>
  <w:footnote w:id="38">
    <w:p w14:paraId="1650882F" w14:textId="5A5AEA95" w:rsidR="00E26C84" w:rsidRDefault="00526D0C" w:rsidP="00E26C84">
      <w:pPr>
        <w:pStyle w:val="FootnoteText"/>
      </w:pPr>
      <w:r w:rsidRPr="00526D0C">
        <w:rPr>
          <w:rStyle w:val="FootnoteReference"/>
          <w:vertAlign w:val="baseline"/>
        </w:rPr>
        <w:footnoteRef/>
      </w:r>
      <w:r w:rsidR="004C4B0B">
        <w:t xml:space="preserve"> </w:t>
      </w:r>
      <w:r w:rsidR="00293726">
        <w:tab/>
      </w:r>
      <w:r w:rsidR="004C4B0B">
        <w:t>HIH Insurance Limited was an insurance company that was placed into provisional liquidation on 15</w:t>
      </w:r>
      <w:r w:rsidR="00BF56E8">
        <w:t> </w:t>
      </w:r>
      <w:r w:rsidR="004C4B0B">
        <w:t>March</w:t>
      </w:r>
      <w:r w:rsidR="00BF56E8">
        <w:t> </w:t>
      </w:r>
      <w:r w:rsidR="004C4B0B">
        <w:t xml:space="preserve">2001. The collapse of HIH Insurance Limited was the subject of a royal commission. </w:t>
      </w:r>
    </w:p>
  </w:footnote>
  <w:footnote w:id="39">
    <w:p w14:paraId="2A8543B3" w14:textId="5922694E" w:rsidR="00E26C84" w:rsidRPr="00140678" w:rsidRDefault="00526D0C" w:rsidP="00E26C84">
      <w:pPr>
        <w:pStyle w:val="FootnoteText"/>
      </w:pPr>
      <w:r w:rsidRPr="00526D0C">
        <w:rPr>
          <w:rStyle w:val="FootnoteReference"/>
          <w:vertAlign w:val="baseline"/>
        </w:rPr>
        <w:footnoteRef/>
      </w:r>
      <w:r w:rsidR="00E26C84">
        <w:t xml:space="preserve"> </w:t>
      </w:r>
      <w:r w:rsidR="00293726">
        <w:tab/>
      </w:r>
      <w:r w:rsidR="00E26C84" w:rsidRPr="00BB5783">
        <w:t xml:space="preserve">The Financial Sector Advisory Council was established in response to a recommendation of the Financial Systems Inquiry, with part of its function to provide industry views on the performance of the financial regulators. The Financial Sector Advisory Council was </w:t>
      </w:r>
      <w:r w:rsidR="00E26C84">
        <w:t>suspended</w:t>
      </w:r>
      <w:r w:rsidR="00E26C84" w:rsidRPr="00BB5783">
        <w:t xml:space="preserve"> in </w:t>
      </w:r>
      <w:r w:rsidR="00E26C84">
        <w:t xml:space="preserve">2018 as its role overlapped with the Royal Commission into </w:t>
      </w:r>
      <w:r w:rsidR="00E26C84" w:rsidRPr="00140678">
        <w:t>Misconduct in the Banking, Superannuation and Financial Services Industry.</w:t>
      </w:r>
    </w:p>
  </w:footnote>
  <w:footnote w:id="40">
    <w:p w14:paraId="3007DA0C" w14:textId="093F835B" w:rsidR="00CB6C54" w:rsidRPr="00B53510" w:rsidRDefault="00526D0C">
      <w:pPr>
        <w:pStyle w:val="FootnoteText"/>
      </w:pPr>
      <w:r w:rsidRPr="00526D0C">
        <w:rPr>
          <w:rStyle w:val="FootnoteReference"/>
          <w:vertAlign w:val="baseline"/>
        </w:rPr>
        <w:footnoteRef/>
      </w:r>
      <w:r w:rsidR="00CB6C54" w:rsidRPr="00140678">
        <w:tab/>
      </w:r>
      <w:r w:rsidR="0077325C" w:rsidRPr="00140678">
        <w:rPr>
          <w:iCs/>
        </w:rPr>
        <w:t>K Chester</w:t>
      </w:r>
      <w:r w:rsidR="00205A07" w:rsidRPr="00140678">
        <w:rPr>
          <w:iCs/>
        </w:rPr>
        <w:t>, M Gray and D Galbally</w:t>
      </w:r>
      <w:r w:rsidR="0077325C" w:rsidRPr="00140678">
        <w:t xml:space="preserve">, </w:t>
      </w:r>
      <w:r w:rsidR="0077325C" w:rsidRPr="00140678">
        <w:rPr>
          <w:i/>
        </w:rPr>
        <w:t>Fit for the future: A capability review of the Australian Securities and Investments Commission</w:t>
      </w:r>
      <w:r w:rsidR="0077325C" w:rsidRPr="00140678">
        <w:t xml:space="preserve">, Australian Government, 2015. </w:t>
      </w:r>
    </w:p>
  </w:footnote>
  <w:footnote w:id="41">
    <w:p w14:paraId="5582EE96" w14:textId="4553A190" w:rsidR="00E26C84" w:rsidRDefault="00526D0C" w:rsidP="00E26C84">
      <w:pPr>
        <w:pStyle w:val="FootnoteText"/>
      </w:pPr>
      <w:r w:rsidRPr="00526D0C">
        <w:rPr>
          <w:rStyle w:val="FootnoteReference"/>
          <w:vertAlign w:val="baseline"/>
        </w:rPr>
        <w:footnoteRef/>
      </w:r>
      <w:r w:rsidR="00E26C84">
        <w:t xml:space="preserve"> </w:t>
      </w:r>
      <w:r w:rsidR="00293726">
        <w:tab/>
      </w:r>
      <w:r w:rsidR="00E26C84">
        <w:t>ASIC disputed this evidence noting that over a one</w:t>
      </w:r>
      <w:r w:rsidR="00EF40B0">
        <w:noBreakHyphen/>
      </w:r>
      <w:r w:rsidR="00E26C84">
        <w:t>month period between September and November 2015, ASIC commissioners spent around 59% of their time on strategic matters and activities. The Capability Review maintained the</w:t>
      </w:r>
      <w:r w:rsidR="00E26C84" w:rsidRPr="00493BCF">
        <w:t xml:space="preserve"> view that its findings </w:t>
      </w:r>
      <w:r w:rsidR="00E26C84">
        <w:t>stood</w:t>
      </w:r>
      <w:r w:rsidR="00E26C84" w:rsidRPr="00493BCF">
        <w:t xml:space="preserve"> given other sources of evidence (observations, internal and external discussions, survey data)</w:t>
      </w:r>
      <w:r w:rsidR="00E26C84">
        <w:t>.</w:t>
      </w:r>
    </w:p>
  </w:footnote>
  <w:footnote w:id="42">
    <w:p w14:paraId="1612033C" w14:textId="58FBED5A" w:rsidR="004C4B0B" w:rsidRDefault="00526D0C" w:rsidP="004C4B0B">
      <w:pPr>
        <w:pStyle w:val="FootnoteText"/>
      </w:pPr>
      <w:r w:rsidRPr="00526D0C">
        <w:rPr>
          <w:rStyle w:val="FootnoteReference"/>
          <w:vertAlign w:val="baseline"/>
        </w:rPr>
        <w:footnoteRef/>
      </w:r>
      <w:r w:rsidR="004C4B0B">
        <w:t xml:space="preserve"> </w:t>
      </w:r>
      <w:r w:rsidR="00293726">
        <w:tab/>
      </w:r>
      <w:r w:rsidR="004C4B0B">
        <w:t>Staff survey free</w:t>
      </w:r>
      <w:r w:rsidR="00EF40B0">
        <w:noBreakHyphen/>
      </w:r>
      <w:r w:rsidR="004C4B0B">
        <w:t xml:space="preserve">text comments. </w:t>
      </w:r>
    </w:p>
  </w:footnote>
  <w:footnote w:id="43">
    <w:p w14:paraId="4C12C55A" w14:textId="43A187FC" w:rsidR="00E26C84" w:rsidRDefault="00526D0C" w:rsidP="00E26C84">
      <w:pPr>
        <w:pStyle w:val="FootnoteText"/>
      </w:pPr>
      <w:r w:rsidRPr="00526D0C">
        <w:rPr>
          <w:rStyle w:val="FootnoteReference"/>
          <w:vertAlign w:val="baseline"/>
        </w:rPr>
        <w:footnoteRef/>
      </w:r>
      <w:r w:rsidR="004C4B0B">
        <w:t xml:space="preserve"> </w:t>
      </w:r>
      <w:r w:rsidR="00293726">
        <w:tab/>
      </w:r>
      <w:r w:rsidR="004C4B0B">
        <w:t xml:space="preserve">Confidential submissions. </w:t>
      </w:r>
    </w:p>
  </w:footnote>
  <w:footnote w:id="44">
    <w:p w14:paraId="0729DC26" w14:textId="2B914209" w:rsidR="004C4B0B" w:rsidRDefault="00526D0C" w:rsidP="004C4B0B">
      <w:pPr>
        <w:pStyle w:val="FootnoteText"/>
      </w:pPr>
      <w:r w:rsidRPr="00526D0C">
        <w:rPr>
          <w:rStyle w:val="FootnoteReference"/>
          <w:vertAlign w:val="baseline"/>
        </w:rPr>
        <w:footnoteRef/>
      </w:r>
      <w:r w:rsidR="004C4B0B">
        <w:t xml:space="preserve"> </w:t>
      </w:r>
      <w:r w:rsidR="00293726">
        <w:tab/>
      </w:r>
      <w:r w:rsidR="004C4B0B">
        <w:t xml:space="preserve">CHOICE, Law Council of Australia, Australian Banking Association. </w:t>
      </w:r>
    </w:p>
  </w:footnote>
  <w:footnote w:id="45">
    <w:p w14:paraId="6BEF5819" w14:textId="48B1E06D" w:rsidR="004C4B0B" w:rsidRPr="0084026A" w:rsidRDefault="00526D0C" w:rsidP="004C4B0B">
      <w:pPr>
        <w:pStyle w:val="FootnoteText"/>
      </w:pPr>
      <w:r w:rsidRPr="00526D0C">
        <w:rPr>
          <w:rStyle w:val="FootnoteReference"/>
          <w:vertAlign w:val="baseline"/>
        </w:rPr>
        <w:footnoteRef/>
      </w:r>
      <w:r w:rsidR="004C4B0B" w:rsidRPr="0084026A">
        <w:t xml:space="preserve"> </w:t>
      </w:r>
      <w:r w:rsidR="00293726">
        <w:tab/>
      </w:r>
      <w:r w:rsidR="004C4B0B" w:rsidRPr="00CD55E9">
        <w:t xml:space="preserve">The </w:t>
      </w:r>
      <w:r w:rsidR="00326D41">
        <w:t>stakeholder</w:t>
      </w:r>
      <w:r w:rsidR="004C4B0B" w:rsidRPr="00CD55E9">
        <w:t xml:space="preserve"> survey evidenced in this </w:t>
      </w:r>
      <w:r w:rsidR="00C417B3">
        <w:t>r</w:t>
      </w:r>
      <w:r w:rsidR="004C4B0B" w:rsidRPr="00CD55E9">
        <w:t>eview represents a sample of ASIC</w:t>
      </w:r>
      <w:r w:rsidR="00EF40B0">
        <w:t>’</w:t>
      </w:r>
      <w:r w:rsidR="004C4B0B" w:rsidRPr="00CD55E9">
        <w:t>s regulated population and may not be indicative of all organisations and markets sectors regulated by ASIC. For more details see Appendix</w:t>
      </w:r>
      <w:r w:rsidR="00293726">
        <w:t> </w:t>
      </w:r>
      <w:r w:rsidR="004C4B0B">
        <w:t>A</w:t>
      </w:r>
      <w:r w:rsidR="004C4B0B" w:rsidRPr="00A01432">
        <w:t>.</w:t>
      </w:r>
    </w:p>
  </w:footnote>
  <w:footnote w:id="46">
    <w:p w14:paraId="58139D0F" w14:textId="42CB0595" w:rsidR="004C4B0B" w:rsidRDefault="00526D0C" w:rsidP="004C4B0B">
      <w:pPr>
        <w:pStyle w:val="FootnoteText"/>
      </w:pPr>
      <w:r w:rsidRPr="00526D0C">
        <w:rPr>
          <w:rStyle w:val="FootnoteReference"/>
          <w:vertAlign w:val="baseline"/>
        </w:rPr>
        <w:footnoteRef/>
      </w:r>
      <w:r w:rsidR="004C4B0B" w:rsidRPr="0084026A">
        <w:t xml:space="preserve"> </w:t>
      </w:r>
      <w:r w:rsidR="00293726">
        <w:tab/>
      </w:r>
      <w:r w:rsidR="004C4B0B" w:rsidRPr="0084026A">
        <w:t>A</w:t>
      </w:r>
      <w:r w:rsidR="004C4B0B">
        <w:t xml:space="preserve">ustralian </w:t>
      </w:r>
      <w:r w:rsidR="004C4B0B" w:rsidRPr="0084026A">
        <w:t>B</w:t>
      </w:r>
      <w:r w:rsidR="004C4B0B">
        <w:t xml:space="preserve">anking </w:t>
      </w:r>
      <w:r w:rsidR="004C4B0B" w:rsidRPr="0084026A">
        <w:t>A</w:t>
      </w:r>
      <w:r w:rsidR="004C4B0B">
        <w:t>ssociation</w:t>
      </w:r>
      <w:r w:rsidR="004C4B0B" w:rsidRPr="0084026A">
        <w:t>, CHOICE</w:t>
      </w:r>
      <w:r w:rsidR="008A3A2F">
        <w:t>.</w:t>
      </w:r>
    </w:p>
  </w:footnote>
  <w:footnote w:id="47">
    <w:p w14:paraId="037D2A89" w14:textId="1AE479DC" w:rsidR="004C4B0B" w:rsidRDefault="00526D0C" w:rsidP="004C4B0B">
      <w:pPr>
        <w:pStyle w:val="FootnoteText"/>
      </w:pPr>
      <w:r w:rsidRPr="00526D0C">
        <w:rPr>
          <w:rStyle w:val="FootnoteReference"/>
          <w:vertAlign w:val="baseline"/>
        </w:rPr>
        <w:footnoteRef/>
      </w:r>
      <w:r w:rsidR="004C4B0B">
        <w:t xml:space="preserve"> </w:t>
      </w:r>
      <w:r w:rsidR="00293726">
        <w:tab/>
      </w:r>
      <w:r w:rsidR="004C4B0B">
        <w:t>Law Council of Australia, Customer Owned Banking Association, Australian Institute of Company Directors, Australian Institute of Superannuation Trustees</w:t>
      </w:r>
      <w:r w:rsidR="00BB6272">
        <w:t>,</w:t>
      </w:r>
      <w:r w:rsidR="004C4B0B">
        <w:t xml:space="preserve"> confidential submissions.</w:t>
      </w:r>
    </w:p>
  </w:footnote>
  <w:footnote w:id="48">
    <w:p w14:paraId="73D57453" w14:textId="249021A4" w:rsidR="004C4B0B" w:rsidRDefault="00526D0C" w:rsidP="004C4B0B">
      <w:pPr>
        <w:pStyle w:val="FootnoteText"/>
      </w:pPr>
      <w:r w:rsidRPr="00526D0C">
        <w:rPr>
          <w:rStyle w:val="FootnoteReference"/>
          <w:vertAlign w:val="baseline"/>
        </w:rPr>
        <w:footnoteRef/>
      </w:r>
      <w:r w:rsidR="004C4B0B">
        <w:t xml:space="preserve"> </w:t>
      </w:r>
      <w:r w:rsidR="00293726">
        <w:tab/>
      </w:r>
      <w:r w:rsidR="004C4B0B">
        <w:t>Law Council of Australia, Australian Banking Association, Customer Owned Banking Association, Insurance Council of Australia</w:t>
      </w:r>
      <w:r w:rsidR="005F5462">
        <w:t xml:space="preserve">, </w:t>
      </w:r>
      <w:r w:rsidR="004C4B0B">
        <w:t xml:space="preserve">confidential submission. </w:t>
      </w:r>
    </w:p>
  </w:footnote>
  <w:footnote w:id="49">
    <w:p w14:paraId="5EDC9AF2" w14:textId="184602DB" w:rsidR="004C4B0B" w:rsidRPr="001A462B" w:rsidRDefault="00526D0C" w:rsidP="004C4B0B">
      <w:pPr>
        <w:pStyle w:val="FootnoteText"/>
      </w:pPr>
      <w:r w:rsidRPr="00526D0C">
        <w:rPr>
          <w:rStyle w:val="FootnoteReference"/>
          <w:vertAlign w:val="baseline"/>
        </w:rPr>
        <w:footnoteRef/>
      </w:r>
      <w:r w:rsidR="004C4B0B">
        <w:t xml:space="preserve"> </w:t>
      </w:r>
      <w:r w:rsidR="00293726">
        <w:tab/>
      </w:r>
      <w:r w:rsidR="004C4B0B" w:rsidRPr="001A462B">
        <w:t>Law Council of Australia, Australia Institute of Company Directors, Australian Institute of Superannuation Trustees, Australian Restructuring Insolvency and Turnaround Association, Insurance Council of Australia</w:t>
      </w:r>
      <w:r w:rsidR="000C11CE" w:rsidRPr="001A462B">
        <w:t>,</w:t>
      </w:r>
      <w:r w:rsidR="004C4B0B" w:rsidRPr="001A462B">
        <w:t xml:space="preserve"> confidential submissions. </w:t>
      </w:r>
    </w:p>
  </w:footnote>
  <w:footnote w:id="50">
    <w:p w14:paraId="50312D6D" w14:textId="079B7B9C" w:rsidR="004C4B0B" w:rsidRPr="001A462B" w:rsidRDefault="00526D0C" w:rsidP="004C4B0B">
      <w:pPr>
        <w:pStyle w:val="FootnoteText"/>
      </w:pPr>
      <w:r w:rsidRPr="00526D0C">
        <w:rPr>
          <w:rStyle w:val="FootnoteReference"/>
          <w:vertAlign w:val="baseline"/>
        </w:rPr>
        <w:footnoteRef/>
      </w:r>
      <w:r w:rsidR="004C4B0B" w:rsidRPr="001A462B">
        <w:t xml:space="preserve"> </w:t>
      </w:r>
      <w:r w:rsidR="00293726" w:rsidRPr="001A462B">
        <w:tab/>
      </w:r>
      <w:r w:rsidR="004C4B0B" w:rsidRPr="001A462B">
        <w:t>Law Council of Australia, Australian Banking Association, Customer Owned Banking Association, Insurance Council of Australia</w:t>
      </w:r>
      <w:r w:rsidR="00B1165A" w:rsidRPr="001A462B">
        <w:t>,</w:t>
      </w:r>
      <w:r w:rsidR="00CC683E" w:rsidRPr="001A462B">
        <w:t xml:space="preserve"> </w:t>
      </w:r>
      <w:r w:rsidR="004C4B0B" w:rsidRPr="001A462B">
        <w:t>confidential submissions.</w:t>
      </w:r>
    </w:p>
  </w:footnote>
  <w:footnote w:id="51">
    <w:p w14:paraId="09A87D93" w14:textId="739A089C" w:rsidR="004C4B0B" w:rsidRPr="001A462B" w:rsidRDefault="00526D0C" w:rsidP="004C4B0B">
      <w:pPr>
        <w:pStyle w:val="FootnoteText"/>
      </w:pPr>
      <w:r w:rsidRPr="00526D0C">
        <w:rPr>
          <w:rStyle w:val="FootnoteReference"/>
          <w:vertAlign w:val="baseline"/>
        </w:rPr>
        <w:footnoteRef/>
      </w:r>
      <w:r w:rsidR="004C4B0B" w:rsidRPr="001A462B">
        <w:t xml:space="preserve"> </w:t>
      </w:r>
      <w:r w:rsidR="00293726" w:rsidRPr="001A462B">
        <w:tab/>
      </w:r>
      <w:r w:rsidR="004C4B0B" w:rsidRPr="001A462B">
        <w:t>Law Council of Australia.</w:t>
      </w:r>
    </w:p>
  </w:footnote>
  <w:footnote w:id="52">
    <w:p w14:paraId="1FE6351D" w14:textId="777CCC9B" w:rsidR="004C4B0B" w:rsidRPr="001A462B" w:rsidRDefault="00526D0C" w:rsidP="004C4B0B">
      <w:pPr>
        <w:pStyle w:val="FootnoteText"/>
      </w:pPr>
      <w:r w:rsidRPr="00526D0C">
        <w:rPr>
          <w:rStyle w:val="FootnoteReference"/>
          <w:vertAlign w:val="baseline"/>
        </w:rPr>
        <w:footnoteRef/>
      </w:r>
      <w:r w:rsidR="004C4B0B" w:rsidRPr="001A462B">
        <w:t xml:space="preserve"> </w:t>
      </w:r>
      <w:r w:rsidR="00293726" w:rsidRPr="001A462B">
        <w:tab/>
      </w:r>
      <w:r w:rsidR="00AB24AF" w:rsidRPr="001A462B">
        <w:t xml:space="preserve">ASIC, </w:t>
      </w:r>
      <w:hyperlink r:id="rId17" w:history="1">
        <w:r w:rsidR="00AB24AF" w:rsidRPr="001A462B">
          <w:rPr>
            <w:rStyle w:val="Hyperlink"/>
            <w:i/>
          </w:rPr>
          <w:t>ASIC</w:t>
        </w:r>
        <w:r w:rsidR="00EF40B0">
          <w:rPr>
            <w:rStyle w:val="Hyperlink"/>
            <w:i/>
          </w:rPr>
          <w:t>’</w:t>
        </w:r>
        <w:r w:rsidR="00AB24AF" w:rsidRPr="001A462B">
          <w:rPr>
            <w:rStyle w:val="Hyperlink"/>
            <w:i/>
          </w:rPr>
          <w:t>s approach to new law</w:t>
        </w:r>
        <w:r w:rsidR="005D2939" w:rsidRPr="001A462B">
          <w:rPr>
            <w:rStyle w:val="Hyperlink"/>
            <w:i/>
          </w:rPr>
          <w:t>s</w:t>
        </w:r>
        <w:r w:rsidR="00AB24AF" w:rsidRPr="001A462B">
          <w:rPr>
            <w:rStyle w:val="Hyperlink"/>
            <w:i/>
          </w:rPr>
          <w:t xml:space="preserve"> reforming financial services sector </w:t>
        </w:r>
      </w:hyperlink>
      <w:r w:rsidR="00AB24AF" w:rsidRPr="001A462B">
        <w:t>[media release], ASIC</w:t>
      </w:r>
      <w:r w:rsidR="00E13EAA">
        <w:t xml:space="preserve"> website</w:t>
      </w:r>
      <w:r w:rsidR="00AB24AF" w:rsidRPr="001A462B">
        <w:t>, 12 August 2021, accessed 21 July 2022.</w:t>
      </w:r>
    </w:p>
  </w:footnote>
  <w:footnote w:id="53">
    <w:p w14:paraId="5D9062AA" w14:textId="14A79863" w:rsidR="004C4B0B" w:rsidRDefault="00526D0C" w:rsidP="004C4B0B">
      <w:pPr>
        <w:pStyle w:val="FootnoteText"/>
      </w:pPr>
      <w:r w:rsidRPr="00526D0C">
        <w:rPr>
          <w:rStyle w:val="FootnoteReference"/>
          <w:vertAlign w:val="baseline"/>
        </w:rPr>
        <w:footnoteRef/>
      </w:r>
      <w:r w:rsidR="004C4B0B" w:rsidRPr="001A462B">
        <w:t xml:space="preserve"> </w:t>
      </w:r>
      <w:r w:rsidR="00293726" w:rsidRPr="001A462B">
        <w:tab/>
      </w:r>
      <w:r w:rsidR="004C4B0B" w:rsidRPr="001A462B">
        <w:t xml:space="preserve">Executive director and commissioner interviews. </w:t>
      </w:r>
    </w:p>
  </w:footnote>
  <w:footnote w:id="54">
    <w:p w14:paraId="0725F864" w14:textId="04BBD33C" w:rsidR="004C4B0B" w:rsidRPr="00B93E7D" w:rsidRDefault="00526D0C" w:rsidP="004C4B0B">
      <w:pPr>
        <w:pStyle w:val="FootnoteText"/>
      </w:pPr>
      <w:r w:rsidRPr="00526D0C">
        <w:rPr>
          <w:rStyle w:val="FootnoteReference"/>
          <w:vertAlign w:val="baseline"/>
        </w:rPr>
        <w:footnoteRef/>
      </w:r>
      <w:r w:rsidR="004C4B0B">
        <w:t xml:space="preserve"> </w:t>
      </w:r>
      <w:r w:rsidR="00293726">
        <w:tab/>
      </w:r>
      <w:r w:rsidR="00FE15D8" w:rsidRPr="00B93E7D">
        <w:t xml:space="preserve">ASIC, </w:t>
      </w:r>
      <w:hyperlink r:id="rId18" w:history="1">
        <w:r w:rsidR="00FE15D8" w:rsidRPr="00B93E7D">
          <w:rPr>
            <w:rStyle w:val="Hyperlink"/>
            <w:i/>
            <w:iCs/>
          </w:rPr>
          <w:t>Corporate Plan 2021</w:t>
        </w:r>
        <w:r w:rsidR="00FC4492" w:rsidRPr="00B93E7D">
          <w:t>–</w:t>
        </w:r>
        <w:r w:rsidR="00FE15D8" w:rsidRPr="00B93E7D">
          <w:rPr>
            <w:rStyle w:val="Hyperlink"/>
            <w:i/>
            <w:iCs/>
          </w:rPr>
          <w:t>25</w:t>
        </w:r>
        <w:r w:rsidR="00AF45AF">
          <w:rPr>
            <w:rStyle w:val="Hyperlink"/>
            <w:i/>
            <w:iCs/>
          </w:rPr>
          <w:t>:</w:t>
        </w:r>
        <w:r w:rsidR="00FE15D8" w:rsidRPr="00B93E7D">
          <w:rPr>
            <w:rStyle w:val="Hyperlink"/>
            <w:i/>
            <w:iCs/>
          </w:rPr>
          <w:t xml:space="preserve"> Focus 2021</w:t>
        </w:r>
        <w:r w:rsidR="00FC4492" w:rsidRPr="00B93E7D">
          <w:t>–</w:t>
        </w:r>
        <w:r w:rsidR="00FE15D8" w:rsidRPr="00B93E7D">
          <w:rPr>
            <w:rStyle w:val="Hyperlink"/>
            <w:i/>
            <w:iCs/>
          </w:rPr>
          <w:t>22</w:t>
        </w:r>
      </w:hyperlink>
      <w:r w:rsidR="00FE15D8" w:rsidRPr="00B93E7D">
        <w:t>, ASIC website, 2021, accessed 21 July 2022.</w:t>
      </w:r>
    </w:p>
  </w:footnote>
  <w:footnote w:id="55">
    <w:p w14:paraId="6E432C63" w14:textId="40C3C1B8" w:rsidR="00BC6524" w:rsidRPr="00B93E7D" w:rsidRDefault="00526D0C" w:rsidP="00BC6524">
      <w:pPr>
        <w:pStyle w:val="FootnoteText"/>
      </w:pPr>
      <w:r w:rsidRPr="00526D0C">
        <w:rPr>
          <w:rStyle w:val="FootnoteReference"/>
          <w:vertAlign w:val="baseline"/>
        </w:rPr>
        <w:footnoteRef/>
      </w:r>
      <w:r w:rsidR="00BC6524" w:rsidRPr="00B93E7D">
        <w:t xml:space="preserve"> </w:t>
      </w:r>
      <w:r w:rsidR="00BC6524" w:rsidRPr="00B93E7D">
        <w:tab/>
        <w:t xml:space="preserve">Confidential submissions. </w:t>
      </w:r>
    </w:p>
  </w:footnote>
  <w:footnote w:id="56">
    <w:p w14:paraId="56B6C5A1" w14:textId="06AE240F" w:rsidR="00E26C84" w:rsidRPr="00B93E7D" w:rsidRDefault="00526D0C" w:rsidP="00E26C84">
      <w:pPr>
        <w:pStyle w:val="FootnoteText"/>
      </w:pPr>
      <w:r w:rsidRPr="00526D0C">
        <w:rPr>
          <w:rStyle w:val="FootnoteReference"/>
          <w:vertAlign w:val="baseline"/>
        </w:rPr>
        <w:footnoteRef/>
      </w:r>
      <w:r w:rsidR="004C4B0B" w:rsidRPr="00B93E7D">
        <w:t xml:space="preserve"> </w:t>
      </w:r>
      <w:r w:rsidR="00293726" w:rsidRPr="00B93E7D">
        <w:tab/>
      </w:r>
      <w:r w:rsidR="005B77BD" w:rsidRPr="00B93E7D">
        <w:t>9</w:t>
      </w:r>
      <w:r w:rsidR="004C4B0B" w:rsidRPr="00B93E7D">
        <w:t xml:space="preserve">% and 16% disagreed respectively and the remainder neutral. </w:t>
      </w:r>
    </w:p>
  </w:footnote>
  <w:footnote w:id="57">
    <w:p w14:paraId="4FA43798" w14:textId="3EEC339D" w:rsidR="00FE2548" w:rsidRPr="00B93E7D" w:rsidRDefault="00526D0C">
      <w:pPr>
        <w:pStyle w:val="FootnoteText"/>
      </w:pPr>
      <w:r w:rsidRPr="00526D0C">
        <w:rPr>
          <w:rStyle w:val="FootnoteReference"/>
          <w:vertAlign w:val="baseline"/>
        </w:rPr>
        <w:footnoteRef/>
      </w:r>
      <w:r w:rsidR="00FE2548" w:rsidRPr="00B93E7D">
        <w:rPr>
          <w:rStyle w:val="FootnoteReference"/>
          <w:vertAlign w:val="baseline"/>
        </w:rPr>
        <w:t xml:space="preserve"> </w:t>
      </w:r>
      <w:r w:rsidR="001404E2" w:rsidRPr="00B93E7D">
        <w:rPr>
          <w:rStyle w:val="FootnoteReference"/>
          <w:vertAlign w:val="baseline"/>
        </w:rPr>
        <w:tab/>
        <w:t>This underinvestment is also a function of ASIC</w:t>
      </w:r>
      <w:r w:rsidR="00EF40B0">
        <w:rPr>
          <w:rStyle w:val="FootnoteReference"/>
          <w:vertAlign w:val="baseline"/>
        </w:rPr>
        <w:t>’</w:t>
      </w:r>
      <w:r w:rsidR="001404E2" w:rsidRPr="00B93E7D">
        <w:rPr>
          <w:rStyle w:val="FootnoteReference"/>
          <w:vertAlign w:val="baseline"/>
        </w:rPr>
        <w:t xml:space="preserve">s capital expenditure budget which is set by </w:t>
      </w:r>
      <w:r w:rsidR="006737B8" w:rsidRPr="00B93E7D">
        <w:t>G</w:t>
      </w:r>
      <w:r w:rsidR="001404E2" w:rsidRPr="00B93E7D">
        <w:rPr>
          <w:rStyle w:val="FootnoteReference"/>
          <w:vertAlign w:val="baseline"/>
        </w:rPr>
        <w:t>overnment, with limited flexibility to reallocate its operational expenditure budget to capital expenditure.</w:t>
      </w:r>
    </w:p>
  </w:footnote>
  <w:footnote w:id="58">
    <w:p w14:paraId="779284C9" w14:textId="1A9076C6" w:rsidR="004C4B0B" w:rsidRDefault="00526D0C" w:rsidP="004C4B0B">
      <w:pPr>
        <w:pStyle w:val="FootnoteText"/>
      </w:pPr>
      <w:r w:rsidRPr="00526D0C">
        <w:rPr>
          <w:rStyle w:val="FootnoteReference"/>
          <w:vertAlign w:val="baseline"/>
        </w:rPr>
        <w:footnoteRef/>
      </w:r>
      <w:r w:rsidR="004C4B0B" w:rsidRPr="00B93E7D">
        <w:t xml:space="preserve"> </w:t>
      </w:r>
      <w:r w:rsidR="00293726" w:rsidRPr="00B93E7D">
        <w:tab/>
      </w:r>
      <w:r w:rsidR="004C4B0B" w:rsidRPr="00B93E7D">
        <w:t>Executive director interviews and focus groups</w:t>
      </w:r>
      <w:r w:rsidR="004C4B0B">
        <w:t xml:space="preserve">. </w:t>
      </w:r>
    </w:p>
  </w:footnote>
  <w:footnote w:id="59">
    <w:p w14:paraId="4AFCFCBE" w14:textId="4B0C118B" w:rsidR="004C4B0B" w:rsidRDefault="00526D0C" w:rsidP="004C4B0B">
      <w:pPr>
        <w:pStyle w:val="FootnoteText"/>
      </w:pPr>
      <w:r w:rsidRPr="00526D0C">
        <w:rPr>
          <w:rStyle w:val="FootnoteReference"/>
          <w:vertAlign w:val="baseline"/>
        </w:rPr>
        <w:footnoteRef/>
      </w:r>
      <w:r w:rsidR="004C4B0B">
        <w:t xml:space="preserve"> </w:t>
      </w:r>
      <w:r w:rsidR="00293726">
        <w:tab/>
      </w:r>
      <w:r w:rsidR="004C4B0B">
        <w:t xml:space="preserve">Refer </w:t>
      </w:r>
      <w:r w:rsidR="00E275E9">
        <w:t>paragraph</w:t>
      </w:r>
      <w:r w:rsidR="004C4B0B">
        <w:t xml:space="preserve"> </w:t>
      </w:r>
      <w:r w:rsidR="004C4B0B" w:rsidRPr="00B6726A">
        <w:t>3</w:t>
      </w:r>
      <w:r w:rsidR="004C4B0B" w:rsidRPr="00F31942">
        <w:t>.81</w:t>
      </w:r>
      <w:r w:rsidR="004C4B0B" w:rsidRPr="005C3BA0">
        <w:t xml:space="preserve"> regarding changes ASIC has made in relation to data and technology since 2020</w:t>
      </w:r>
      <w:r w:rsidR="004C4B0B">
        <w:t>.</w:t>
      </w:r>
    </w:p>
  </w:footnote>
  <w:footnote w:id="60">
    <w:p w14:paraId="6678EA40" w14:textId="6B12D80A" w:rsidR="004C4B0B" w:rsidRDefault="00526D0C" w:rsidP="004C4B0B">
      <w:pPr>
        <w:pStyle w:val="FootnoteText"/>
      </w:pPr>
      <w:r w:rsidRPr="00526D0C">
        <w:rPr>
          <w:rStyle w:val="FootnoteReference"/>
          <w:vertAlign w:val="baseline"/>
        </w:rPr>
        <w:footnoteRef/>
      </w:r>
      <w:r w:rsidR="004C4B0B">
        <w:t xml:space="preserve"> </w:t>
      </w:r>
      <w:r w:rsidR="00293726">
        <w:tab/>
      </w:r>
      <w:r w:rsidR="004C4B0B" w:rsidRPr="005926B3">
        <w:t>31</w:t>
      </w:r>
      <w:r w:rsidR="004C4B0B">
        <w:t xml:space="preserve">% </w:t>
      </w:r>
      <w:r w:rsidR="004C4B0B" w:rsidRPr="005926B3">
        <w:t xml:space="preserve">disagreed and the </w:t>
      </w:r>
      <w:r w:rsidR="004C4B0B">
        <w:t>remainder</w:t>
      </w:r>
      <w:r w:rsidR="004C4B0B" w:rsidRPr="005926B3">
        <w:t xml:space="preserve"> neutral</w:t>
      </w:r>
      <w:r w:rsidR="004C4B0B">
        <w:t xml:space="preserve">. </w:t>
      </w:r>
    </w:p>
  </w:footnote>
  <w:footnote w:id="61">
    <w:p w14:paraId="60850933" w14:textId="46692964" w:rsidR="00D26C16" w:rsidRPr="00D26C16" w:rsidRDefault="00526D0C">
      <w:pPr>
        <w:pStyle w:val="FootnoteText"/>
      </w:pPr>
      <w:r w:rsidRPr="00526D0C">
        <w:rPr>
          <w:rStyle w:val="FootnoteReference"/>
          <w:vertAlign w:val="baseline"/>
        </w:rPr>
        <w:footnoteRef/>
      </w:r>
      <w:r w:rsidR="00D26C16" w:rsidRPr="00D26C16">
        <w:rPr>
          <w:rStyle w:val="FootnoteReference"/>
          <w:vertAlign w:val="baseline"/>
        </w:rPr>
        <w:t xml:space="preserve"> </w:t>
      </w:r>
      <w:r w:rsidR="00D26C16">
        <w:tab/>
      </w:r>
      <w:r w:rsidR="00C44197">
        <w:t>Staff survey free</w:t>
      </w:r>
      <w:r w:rsidR="00EF40B0">
        <w:noBreakHyphen/>
      </w:r>
      <w:r w:rsidR="00C44197">
        <w:t>text comments.</w:t>
      </w:r>
    </w:p>
  </w:footnote>
  <w:footnote w:id="62">
    <w:p w14:paraId="47BF824D" w14:textId="081AC380" w:rsidR="004C4B0B" w:rsidRDefault="00526D0C" w:rsidP="004C4B0B">
      <w:pPr>
        <w:pStyle w:val="FootnoteText"/>
      </w:pPr>
      <w:r w:rsidRPr="00526D0C">
        <w:rPr>
          <w:rStyle w:val="FootnoteReference"/>
          <w:vertAlign w:val="baseline"/>
        </w:rPr>
        <w:footnoteRef/>
      </w:r>
      <w:r w:rsidR="004C4B0B">
        <w:t xml:space="preserve"> </w:t>
      </w:r>
      <w:r w:rsidR="00293726">
        <w:tab/>
      </w:r>
      <w:r w:rsidR="004C4B0B">
        <w:t xml:space="preserve">ASIC, </w:t>
      </w:r>
      <w:r w:rsidR="002B0A93" w:rsidRPr="00B93E7D">
        <w:t xml:space="preserve">Material supplied to this </w:t>
      </w:r>
      <w:r w:rsidR="00A64F00" w:rsidRPr="00B93E7D">
        <w:t>r</w:t>
      </w:r>
      <w:r w:rsidR="002B0A93" w:rsidRPr="00B93E7D">
        <w:t>eview,</w:t>
      </w:r>
      <w:r w:rsidR="002B0A93">
        <w:rPr>
          <w:i/>
          <w:iCs/>
        </w:rPr>
        <w:t xml:space="preserve"> </w:t>
      </w:r>
      <w:r w:rsidR="002B0A93">
        <w:t>2022</w:t>
      </w:r>
      <w:r w:rsidR="00662546">
        <w:rPr>
          <w:i/>
          <w:iCs/>
        </w:rPr>
        <w:t>.</w:t>
      </w:r>
    </w:p>
  </w:footnote>
  <w:footnote w:id="63">
    <w:p w14:paraId="18F690C7" w14:textId="5B069354" w:rsidR="004C4B0B" w:rsidRDefault="00526D0C" w:rsidP="004C4B0B">
      <w:pPr>
        <w:pStyle w:val="FootnoteText"/>
      </w:pPr>
      <w:r w:rsidRPr="00526D0C">
        <w:rPr>
          <w:rStyle w:val="FootnoteReference"/>
          <w:vertAlign w:val="baseline"/>
        </w:rPr>
        <w:footnoteRef/>
      </w:r>
      <w:r w:rsidR="004C4B0B">
        <w:t xml:space="preserve"> </w:t>
      </w:r>
      <w:r w:rsidR="00293726">
        <w:tab/>
      </w:r>
      <w:r w:rsidR="004C4B0B">
        <w:t xml:space="preserve">Refer </w:t>
      </w:r>
      <w:r w:rsidR="00A64F00">
        <w:t xml:space="preserve">paragraph </w:t>
      </w:r>
      <w:r w:rsidR="004C4B0B">
        <w:t>4.2</w:t>
      </w:r>
      <w:r w:rsidR="003C194D">
        <w:t>7</w:t>
      </w:r>
      <w:r w:rsidR="004C4B0B">
        <w:t xml:space="preserve"> for more information on ASIC</w:t>
      </w:r>
      <w:r w:rsidR="00EF40B0">
        <w:t>’</w:t>
      </w:r>
      <w:r w:rsidR="004C4B0B">
        <w:t xml:space="preserve">s </w:t>
      </w:r>
      <w:r w:rsidR="00A64F00">
        <w:t>CRM system</w:t>
      </w:r>
      <w:r w:rsidR="004C4B0B">
        <w:t>.</w:t>
      </w:r>
    </w:p>
  </w:footnote>
  <w:footnote w:id="64">
    <w:p w14:paraId="5C4D0C36" w14:textId="6911DE44" w:rsidR="004C4B0B" w:rsidRDefault="00526D0C" w:rsidP="004C4B0B">
      <w:pPr>
        <w:pStyle w:val="FootnoteText"/>
      </w:pPr>
      <w:r w:rsidRPr="00526D0C">
        <w:rPr>
          <w:rStyle w:val="FootnoteReference"/>
          <w:vertAlign w:val="baseline"/>
        </w:rPr>
        <w:footnoteRef/>
      </w:r>
      <w:r w:rsidR="004C4B0B">
        <w:t xml:space="preserve"> </w:t>
      </w:r>
      <w:r w:rsidR="00293726">
        <w:tab/>
      </w:r>
      <w:r w:rsidR="004C4B0B">
        <w:t>Staff survey</w:t>
      </w:r>
      <w:r w:rsidR="009F0F67">
        <w:t>.</w:t>
      </w:r>
    </w:p>
  </w:footnote>
  <w:footnote w:id="65">
    <w:p w14:paraId="12DA4D62" w14:textId="215C9B25" w:rsidR="004C4B0B" w:rsidRPr="008E4CBA" w:rsidRDefault="00526D0C" w:rsidP="004C4B0B">
      <w:pPr>
        <w:pStyle w:val="FootnoteText"/>
      </w:pPr>
      <w:r w:rsidRPr="00526D0C">
        <w:rPr>
          <w:rStyle w:val="FootnoteReference"/>
          <w:vertAlign w:val="baseline"/>
        </w:rPr>
        <w:footnoteRef/>
      </w:r>
      <w:r w:rsidR="004C4B0B">
        <w:t xml:space="preserve"> </w:t>
      </w:r>
      <w:r w:rsidR="00293726">
        <w:tab/>
      </w:r>
      <w:r w:rsidR="004C4B0B">
        <w:t xml:space="preserve">ASIC, </w:t>
      </w:r>
      <w:r w:rsidR="004C4B0B" w:rsidRPr="008D6FA7">
        <w:t>Material supplied to th</w:t>
      </w:r>
      <w:r w:rsidR="00751D22" w:rsidRPr="008D6FA7">
        <w:t>is</w:t>
      </w:r>
      <w:r w:rsidR="004C4B0B" w:rsidRPr="008D6FA7">
        <w:t xml:space="preserve"> </w:t>
      </w:r>
      <w:r w:rsidR="00360B12" w:rsidRPr="008D6FA7">
        <w:t>r</w:t>
      </w:r>
      <w:r w:rsidR="004C4B0B" w:rsidRPr="008D6FA7">
        <w:t>eview</w:t>
      </w:r>
      <w:r w:rsidR="00751D22" w:rsidRPr="008D6FA7">
        <w:t>,</w:t>
      </w:r>
      <w:r w:rsidR="00751D22">
        <w:rPr>
          <w:i/>
          <w:iCs/>
        </w:rPr>
        <w:t xml:space="preserve"> </w:t>
      </w:r>
      <w:r w:rsidR="00751D22">
        <w:t>2022</w:t>
      </w:r>
      <w:r w:rsidR="004C4B0B">
        <w:t xml:space="preserve">. </w:t>
      </w:r>
    </w:p>
  </w:footnote>
  <w:footnote w:id="66">
    <w:p w14:paraId="5BD7734E" w14:textId="22EAB3C6" w:rsidR="00E26C84" w:rsidRDefault="00526D0C" w:rsidP="00E26C84">
      <w:pPr>
        <w:pStyle w:val="FootnoteText"/>
      </w:pPr>
      <w:r w:rsidRPr="00526D0C">
        <w:rPr>
          <w:rStyle w:val="FootnoteReference"/>
          <w:vertAlign w:val="baseline"/>
        </w:rPr>
        <w:footnoteRef/>
      </w:r>
      <w:r w:rsidR="004C4B0B">
        <w:t xml:space="preserve"> </w:t>
      </w:r>
      <w:r w:rsidR="00293726">
        <w:tab/>
      </w:r>
      <w:r w:rsidR="004C4B0B" w:rsidRPr="00794FB4">
        <w:t>6</w:t>
      </w:r>
      <w:r w:rsidR="004C4B0B">
        <w:t>%</w:t>
      </w:r>
      <w:r w:rsidR="004C4B0B" w:rsidRPr="00794FB4">
        <w:t xml:space="preserve"> and 10</w:t>
      </w:r>
      <w:r w:rsidR="004C4B0B">
        <w:t>%</w:t>
      </w:r>
      <w:r w:rsidR="004C4B0B" w:rsidRPr="007C4825">
        <w:t xml:space="preserve"> disagreed</w:t>
      </w:r>
      <w:r w:rsidR="004C4B0B">
        <w:t xml:space="preserve"> respectively</w:t>
      </w:r>
      <w:r w:rsidR="004C4B0B" w:rsidRPr="007C4825">
        <w:t xml:space="preserve"> and the </w:t>
      </w:r>
      <w:r w:rsidR="004C4B0B">
        <w:t>remainder</w:t>
      </w:r>
      <w:r w:rsidR="004C4B0B" w:rsidRPr="007C4825">
        <w:t xml:space="preserve"> neutral</w:t>
      </w:r>
      <w:r w:rsidR="004C4B0B">
        <w:t>.</w:t>
      </w:r>
    </w:p>
  </w:footnote>
  <w:footnote w:id="67">
    <w:p w14:paraId="736F54D8" w14:textId="399A7A0D" w:rsidR="00E26C84" w:rsidRDefault="00526D0C" w:rsidP="00E26C84">
      <w:pPr>
        <w:pStyle w:val="FootnoteText"/>
      </w:pPr>
      <w:r w:rsidRPr="00526D0C">
        <w:rPr>
          <w:rStyle w:val="FootnoteReference"/>
          <w:vertAlign w:val="baseline"/>
        </w:rPr>
        <w:footnoteRef/>
      </w:r>
      <w:r w:rsidR="004C4B0B">
        <w:t xml:space="preserve"> </w:t>
      </w:r>
      <w:r w:rsidR="00293726">
        <w:tab/>
      </w:r>
      <w:r w:rsidR="004C4B0B">
        <w:t>4%</w:t>
      </w:r>
      <w:r w:rsidR="004C4B0B" w:rsidRPr="00385E68">
        <w:t xml:space="preserve"> disagreed and the </w:t>
      </w:r>
      <w:r w:rsidR="004C4B0B">
        <w:t>remainder</w:t>
      </w:r>
      <w:r w:rsidR="004C4B0B" w:rsidRPr="00385E68">
        <w:t xml:space="preserve"> neutral</w:t>
      </w:r>
      <w:r w:rsidR="004C4B0B">
        <w:t>.</w:t>
      </w:r>
    </w:p>
  </w:footnote>
  <w:footnote w:id="68">
    <w:p w14:paraId="1116D6B0" w14:textId="18E97F11" w:rsidR="00E26C84" w:rsidRDefault="00526D0C" w:rsidP="00E26C84">
      <w:pPr>
        <w:pStyle w:val="FootnoteText"/>
      </w:pPr>
      <w:r w:rsidRPr="00526D0C">
        <w:rPr>
          <w:rStyle w:val="FootnoteReference"/>
          <w:vertAlign w:val="baseline"/>
        </w:rPr>
        <w:footnoteRef/>
      </w:r>
      <w:r w:rsidR="004C4B0B">
        <w:t xml:space="preserve"> </w:t>
      </w:r>
      <w:r w:rsidR="00293726">
        <w:tab/>
      </w:r>
      <w:r w:rsidR="004C4B0B">
        <w:t>Law Council of Australia, Australian Institute of Company Directors</w:t>
      </w:r>
      <w:r w:rsidR="004C4B0B" w:rsidDel="009C7A86">
        <w:t xml:space="preserve">, </w:t>
      </w:r>
      <w:r w:rsidR="004C4B0B">
        <w:t xml:space="preserve">Australian Banking Association, Insurance Council of Australia, Australian </w:t>
      </w:r>
      <w:r w:rsidR="00F0300C">
        <w:t>Securities</w:t>
      </w:r>
      <w:r w:rsidR="004C4B0B">
        <w:t xml:space="preserve"> Exchange</w:t>
      </w:r>
      <w:r w:rsidR="00DD7122">
        <w:t>,</w:t>
      </w:r>
      <w:r w:rsidR="004C4B0B">
        <w:t xml:space="preserve"> confidential submission.</w:t>
      </w:r>
    </w:p>
  </w:footnote>
  <w:footnote w:id="69">
    <w:p w14:paraId="3436C6ED" w14:textId="238E77A4" w:rsidR="00E26C84" w:rsidRDefault="00526D0C" w:rsidP="00E26C84">
      <w:pPr>
        <w:pStyle w:val="FootnoteText"/>
      </w:pPr>
      <w:r w:rsidRPr="00526D0C">
        <w:rPr>
          <w:rStyle w:val="FootnoteReference"/>
          <w:vertAlign w:val="baseline"/>
        </w:rPr>
        <w:footnoteRef/>
      </w:r>
      <w:r w:rsidR="004C4B0B">
        <w:t xml:space="preserve"> </w:t>
      </w:r>
      <w:r w:rsidR="00293726">
        <w:tab/>
      </w:r>
      <w:r w:rsidR="004C4B0B">
        <w:t>Confidential submission.</w:t>
      </w:r>
    </w:p>
  </w:footnote>
  <w:footnote w:id="70">
    <w:p w14:paraId="347A3349" w14:textId="59559698" w:rsidR="00E26C84" w:rsidRDefault="00526D0C" w:rsidP="00E26C84">
      <w:pPr>
        <w:pStyle w:val="FootnoteText"/>
      </w:pPr>
      <w:r w:rsidRPr="00526D0C">
        <w:rPr>
          <w:rStyle w:val="FootnoteReference"/>
          <w:vertAlign w:val="baseline"/>
        </w:rPr>
        <w:footnoteRef/>
      </w:r>
      <w:r w:rsidR="004C4B0B">
        <w:t xml:space="preserve"> </w:t>
      </w:r>
      <w:r w:rsidR="00293726">
        <w:tab/>
      </w:r>
      <w:r w:rsidR="004C4B0B">
        <w:t>Law Council of Australia, Australian Institute of Company Directors, Australian Institute of Superannuation Trustees</w:t>
      </w:r>
      <w:r w:rsidR="004C4B0B" w:rsidDel="009C7A86">
        <w:t xml:space="preserve">, </w:t>
      </w:r>
      <w:r w:rsidR="004C4B0B">
        <w:t>Australian Restructuring Insolvency and Turnaround Association, Insurance Council of Australia</w:t>
      </w:r>
      <w:r w:rsidR="00EC22E1">
        <w:t>,</w:t>
      </w:r>
      <w:r w:rsidR="004C4B0B">
        <w:t xml:space="preserve"> confidential submission.</w:t>
      </w:r>
    </w:p>
  </w:footnote>
  <w:footnote w:id="71">
    <w:p w14:paraId="4F0E5268" w14:textId="10030508" w:rsidR="00E26C84" w:rsidRDefault="00526D0C" w:rsidP="00E26C84">
      <w:pPr>
        <w:pStyle w:val="FootnoteText"/>
      </w:pPr>
      <w:r w:rsidRPr="00526D0C">
        <w:rPr>
          <w:rStyle w:val="FootnoteReference"/>
          <w:vertAlign w:val="baseline"/>
        </w:rPr>
        <w:footnoteRef/>
      </w:r>
      <w:r w:rsidR="004C4B0B">
        <w:t xml:space="preserve"> </w:t>
      </w:r>
      <w:r w:rsidR="00293726">
        <w:tab/>
      </w:r>
      <w:r w:rsidR="004C4B0B">
        <w:t>Confidential submission.</w:t>
      </w:r>
    </w:p>
  </w:footnote>
  <w:footnote w:id="72">
    <w:p w14:paraId="737C4648" w14:textId="01C93D24" w:rsidR="00E26C84" w:rsidRDefault="00526D0C" w:rsidP="00E26C84">
      <w:pPr>
        <w:pStyle w:val="FootnoteText"/>
      </w:pPr>
      <w:r w:rsidRPr="00526D0C">
        <w:rPr>
          <w:rStyle w:val="FootnoteReference"/>
          <w:vertAlign w:val="baseline"/>
        </w:rPr>
        <w:footnoteRef/>
      </w:r>
      <w:r w:rsidR="004C4B0B">
        <w:t xml:space="preserve"> </w:t>
      </w:r>
      <w:r w:rsidR="00293726">
        <w:tab/>
      </w:r>
      <w:r w:rsidR="00FE6D29" w:rsidRPr="00FE6D29">
        <w:t>Australian Banking Association, Customer Owned Banking Association, Insurance Council of Australia</w:t>
      </w:r>
      <w:r w:rsidR="00FE6D29" w:rsidRPr="00FE6D29" w:rsidDel="009C7A86">
        <w:t xml:space="preserve">, </w:t>
      </w:r>
      <w:r w:rsidR="00FE6D29" w:rsidRPr="00FE6D29">
        <w:t>Consumer Action Law Centre and confidential submission</w:t>
      </w:r>
      <w:r w:rsidR="00542D20">
        <w:t>.</w:t>
      </w:r>
      <w:r w:rsidR="00FE6D29" w:rsidRPr="00FE6D29">
        <w:t xml:space="preserve"> F</w:t>
      </w:r>
      <w:r w:rsidR="0068250F">
        <w:t>CA</w:t>
      </w:r>
      <w:r w:rsidR="00FE6D29" w:rsidRPr="00FE6D29">
        <w:t xml:space="preserve">, </w:t>
      </w:r>
      <w:hyperlink r:id="rId19" w:history="1">
        <w:r w:rsidR="00FE6D29" w:rsidRPr="00FE6D29">
          <w:rPr>
            <w:rStyle w:val="Hyperlink"/>
            <w:i/>
          </w:rPr>
          <w:t>Regulatory Initiatives Grid</w:t>
        </w:r>
      </w:hyperlink>
      <w:r w:rsidR="00FE6D29" w:rsidRPr="00FE6D29">
        <w:t>, FCA website, 2022, accessed 21 July 2022</w:t>
      </w:r>
      <w:r w:rsidR="00542D20">
        <w:t>.</w:t>
      </w:r>
      <w:r w:rsidR="00FE6D29" w:rsidRPr="00FE6D29">
        <w:t xml:space="preserve"> Council of Financial Regulators, </w:t>
      </w:r>
      <w:hyperlink r:id="rId20" w:history="1">
        <w:r w:rsidR="00FE6D29" w:rsidRPr="00FE6D29">
          <w:rPr>
            <w:rStyle w:val="Hyperlink"/>
            <w:i/>
          </w:rPr>
          <w:t>Regulatory Initiatives Calendar</w:t>
        </w:r>
      </w:hyperlink>
      <w:r w:rsidR="00FE6D29" w:rsidRPr="00FE6D29">
        <w:t>, New Zealand Government, 2022, accessed 21 July 2022</w:t>
      </w:r>
      <w:r w:rsidR="00FE6D29" w:rsidRPr="00FE6D29" w:rsidDel="00A039C9">
        <w:t>.</w:t>
      </w:r>
    </w:p>
  </w:footnote>
  <w:footnote w:id="73">
    <w:p w14:paraId="01A12495" w14:textId="4E5FA04B" w:rsidR="00E26C84" w:rsidRDefault="00526D0C" w:rsidP="00E26C84">
      <w:pPr>
        <w:pStyle w:val="FootnoteText"/>
      </w:pPr>
      <w:r w:rsidRPr="00526D0C">
        <w:rPr>
          <w:rStyle w:val="FootnoteReference"/>
          <w:vertAlign w:val="baseline"/>
        </w:rPr>
        <w:footnoteRef/>
      </w:r>
      <w:r w:rsidR="004C4B0B">
        <w:t xml:space="preserve"> </w:t>
      </w:r>
      <w:r w:rsidR="00293726">
        <w:tab/>
      </w:r>
      <w:r w:rsidR="004C4B0B">
        <w:t>Australian Banking Association.</w:t>
      </w:r>
    </w:p>
  </w:footnote>
  <w:footnote w:id="74">
    <w:p w14:paraId="1E051550" w14:textId="55126865" w:rsidR="00E26C84" w:rsidRDefault="00526D0C" w:rsidP="00E26C84">
      <w:pPr>
        <w:pStyle w:val="FootnoteText"/>
      </w:pPr>
      <w:r w:rsidRPr="00526D0C">
        <w:rPr>
          <w:rStyle w:val="FootnoteReference"/>
          <w:vertAlign w:val="baseline"/>
        </w:rPr>
        <w:footnoteRef/>
      </w:r>
      <w:r w:rsidR="004C4B0B">
        <w:t xml:space="preserve"> </w:t>
      </w:r>
      <w:r w:rsidR="00293726">
        <w:tab/>
      </w:r>
      <w:r w:rsidR="004C4B0B" w:rsidRPr="00391F0C">
        <w:rPr>
          <w:bCs/>
        </w:rPr>
        <w:t>18</w:t>
      </w:r>
      <w:r w:rsidR="004C4B0B">
        <w:rPr>
          <w:bCs/>
        </w:rPr>
        <w:t>%</w:t>
      </w:r>
      <w:r w:rsidR="004C4B0B" w:rsidRPr="00391F0C">
        <w:rPr>
          <w:bCs/>
        </w:rPr>
        <w:t xml:space="preserve"> disagreed and the </w:t>
      </w:r>
      <w:r w:rsidR="004C4B0B">
        <w:rPr>
          <w:bCs/>
        </w:rPr>
        <w:t>remainder</w:t>
      </w:r>
      <w:r w:rsidR="004C4B0B" w:rsidRPr="00391F0C">
        <w:rPr>
          <w:bCs/>
        </w:rPr>
        <w:t xml:space="preserve"> neutral</w:t>
      </w:r>
      <w:r w:rsidR="004C4B0B">
        <w:rPr>
          <w:bCs/>
        </w:rPr>
        <w:t>.</w:t>
      </w:r>
    </w:p>
  </w:footnote>
  <w:footnote w:id="75">
    <w:p w14:paraId="440F65D8" w14:textId="7CAB4885" w:rsidR="00E26C84" w:rsidRDefault="00526D0C" w:rsidP="00E26C84">
      <w:pPr>
        <w:pStyle w:val="FootnoteText"/>
      </w:pPr>
      <w:r w:rsidRPr="00526D0C">
        <w:rPr>
          <w:rStyle w:val="FootnoteReference"/>
          <w:vertAlign w:val="baseline"/>
        </w:rPr>
        <w:footnoteRef/>
      </w:r>
      <w:r w:rsidR="004C4B0B">
        <w:t xml:space="preserve"> </w:t>
      </w:r>
      <w:r w:rsidR="00293726">
        <w:tab/>
      </w:r>
      <w:r w:rsidR="004C4B0B">
        <w:t>Staff survey free</w:t>
      </w:r>
      <w:r w:rsidR="00EF40B0">
        <w:noBreakHyphen/>
      </w:r>
      <w:r w:rsidR="004C4B0B">
        <w:t>text comments</w:t>
      </w:r>
      <w:r w:rsidR="00156ED4">
        <w:t>.</w:t>
      </w:r>
    </w:p>
  </w:footnote>
  <w:footnote w:id="76">
    <w:p w14:paraId="1DC2F543" w14:textId="59384F63" w:rsidR="00E26C84" w:rsidRDefault="00526D0C" w:rsidP="00E26C84">
      <w:pPr>
        <w:pStyle w:val="FootnoteText"/>
      </w:pPr>
      <w:r w:rsidRPr="00526D0C">
        <w:rPr>
          <w:rStyle w:val="FootnoteReference"/>
          <w:vertAlign w:val="baseline"/>
        </w:rPr>
        <w:footnoteRef/>
      </w:r>
      <w:r w:rsidR="004C4B0B">
        <w:t xml:space="preserve"> </w:t>
      </w:r>
      <w:r w:rsidR="00293726">
        <w:tab/>
      </w:r>
      <w:r w:rsidR="004C4B0B">
        <w:t>Australian Banking Association, Australian Institute of Superannuation Trustees, Law Council of Australia, Australian Financial Markets Association</w:t>
      </w:r>
      <w:r w:rsidR="00114507">
        <w:t>,</w:t>
      </w:r>
      <w:r w:rsidR="004C4B0B">
        <w:t xml:space="preserve"> confidential submissions.</w:t>
      </w:r>
    </w:p>
  </w:footnote>
  <w:footnote w:id="77">
    <w:p w14:paraId="5B47C8C8" w14:textId="19855416" w:rsidR="004C4B0B" w:rsidRDefault="00526D0C" w:rsidP="004C4B0B">
      <w:pPr>
        <w:pStyle w:val="FootnoteText"/>
      </w:pPr>
      <w:r w:rsidRPr="00526D0C">
        <w:rPr>
          <w:rStyle w:val="FootnoteReference"/>
          <w:vertAlign w:val="baseline"/>
        </w:rPr>
        <w:footnoteRef/>
      </w:r>
      <w:r w:rsidR="004C4B0B">
        <w:t xml:space="preserve"> </w:t>
      </w:r>
      <w:r w:rsidR="00293726">
        <w:tab/>
      </w:r>
      <w:r w:rsidR="004C4B0B">
        <w:t>Law Council of Australia and confidential submission.</w:t>
      </w:r>
    </w:p>
  </w:footnote>
  <w:footnote w:id="78">
    <w:p w14:paraId="6BEE7865" w14:textId="18BE55F1" w:rsidR="004C4B0B" w:rsidRDefault="00526D0C" w:rsidP="004C4B0B">
      <w:pPr>
        <w:pStyle w:val="FootnoteText"/>
      </w:pPr>
      <w:r w:rsidRPr="00526D0C">
        <w:rPr>
          <w:rStyle w:val="FootnoteReference"/>
          <w:vertAlign w:val="baseline"/>
        </w:rPr>
        <w:footnoteRef/>
      </w:r>
      <w:r w:rsidR="004C4B0B">
        <w:t xml:space="preserve"> </w:t>
      </w:r>
      <w:r w:rsidR="00422489">
        <w:tab/>
      </w:r>
      <w:r w:rsidR="004C4B0B" w:rsidRPr="001138C6">
        <w:t>57</w:t>
      </w:r>
      <w:r w:rsidR="004C4B0B">
        <w:t>%</w:t>
      </w:r>
      <w:r w:rsidR="004C4B0B" w:rsidRPr="001138C6">
        <w:t xml:space="preserve"> disagreed and the re</w:t>
      </w:r>
      <w:r w:rsidR="004C4B0B">
        <w:t>mainder</w:t>
      </w:r>
      <w:r w:rsidR="004C4B0B" w:rsidRPr="001138C6">
        <w:t xml:space="preserve"> neutral</w:t>
      </w:r>
      <w:r w:rsidR="004C4B0B">
        <w:t>.</w:t>
      </w:r>
    </w:p>
  </w:footnote>
  <w:footnote w:id="79">
    <w:p w14:paraId="368DAF6E" w14:textId="23228E3D" w:rsidR="004C4B0B" w:rsidRDefault="00526D0C" w:rsidP="004C4B0B">
      <w:pPr>
        <w:pStyle w:val="FootnoteText"/>
      </w:pPr>
      <w:r w:rsidRPr="00526D0C">
        <w:rPr>
          <w:rStyle w:val="FootnoteReference"/>
          <w:vertAlign w:val="baseline"/>
        </w:rPr>
        <w:footnoteRef/>
      </w:r>
      <w:r w:rsidR="004C4B0B">
        <w:t xml:space="preserve"> </w:t>
      </w:r>
      <w:r w:rsidR="00422489">
        <w:tab/>
      </w:r>
      <w:r w:rsidR="004C4B0B">
        <w:t>Confidential submission.</w:t>
      </w:r>
    </w:p>
  </w:footnote>
  <w:footnote w:id="80">
    <w:p w14:paraId="748FE8CC" w14:textId="7F226182" w:rsidR="00E26C84" w:rsidRDefault="00526D0C" w:rsidP="00E26C84">
      <w:pPr>
        <w:pStyle w:val="FootnoteText"/>
      </w:pPr>
      <w:r w:rsidRPr="00526D0C">
        <w:rPr>
          <w:rStyle w:val="FootnoteReference"/>
          <w:vertAlign w:val="baseline"/>
        </w:rPr>
        <w:footnoteRef/>
      </w:r>
      <w:r w:rsidR="004C4B0B" w:rsidDel="009C7A86">
        <w:t xml:space="preserve"> </w:t>
      </w:r>
      <w:r w:rsidR="00422489">
        <w:tab/>
      </w:r>
      <w:r w:rsidR="004C4B0B">
        <w:t>CHOICE, Australian Banking Association</w:t>
      </w:r>
      <w:r w:rsidR="007E5118">
        <w:t>,</w:t>
      </w:r>
      <w:r w:rsidR="004C4B0B">
        <w:t xml:space="preserve"> confidential submission.</w:t>
      </w:r>
    </w:p>
  </w:footnote>
  <w:footnote w:id="81">
    <w:p w14:paraId="4FE2D225" w14:textId="7ECDA67A" w:rsidR="004C4B0B" w:rsidRDefault="00526D0C" w:rsidP="004C4B0B">
      <w:pPr>
        <w:pStyle w:val="FootnoteText"/>
      </w:pPr>
      <w:r w:rsidRPr="00526D0C">
        <w:rPr>
          <w:rStyle w:val="FootnoteReference"/>
          <w:vertAlign w:val="baseline"/>
        </w:rPr>
        <w:footnoteRef/>
      </w:r>
      <w:r w:rsidR="004C4B0B">
        <w:t xml:space="preserve"> </w:t>
      </w:r>
      <w:r w:rsidR="00422489">
        <w:tab/>
      </w:r>
      <w:r w:rsidR="004C4B0B">
        <w:t>Confidential submission</w:t>
      </w:r>
      <w:r w:rsidR="003F0E40">
        <w:t>.</w:t>
      </w:r>
      <w:r w:rsidR="004C4B0B">
        <w:t xml:space="preserve"> </w:t>
      </w:r>
      <w:r w:rsidR="004C4B0B" w:rsidRPr="00825760">
        <w:t>ASIC</w:t>
      </w:r>
      <w:r w:rsidR="00EF40B0">
        <w:t>’</w:t>
      </w:r>
      <w:r w:rsidR="004C4B0B" w:rsidRPr="00825760">
        <w:t xml:space="preserve">s </w:t>
      </w:r>
      <w:r w:rsidR="00D74163">
        <w:t>C</w:t>
      </w:r>
      <w:r w:rsidR="004C4B0B">
        <w:t xml:space="preserve">ost </w:t>
      </w:r>
      <w:r w:rsidR="00D74163">
        <w:t>R</w:t>
      </w:r>
      <w:r w:rsidR="004C4B0B">
        <w:t xml:space="preserve">ecovery </w:t>
      </w:r>
      <w:r w:rsidR="00D74163">
        <w:t>I</w:t>
      </w:r>
      <w:r w:rsidR="004C4B0B">
        <w:t xml:space="preserve">mplementation </w:t>
      </w:r>
      <w:r w:rsidR="00D74163">
        <w:t>S</w:t>
      </w:r>
      <w:r w:rsidR="004C4B0B">
        <w:t>tatement</w:t>
      </w:r>
      <w:r w:rsidR="004C4B0B" w:rsidRPr="00825760">
        <w:t xml:space="preserve"> contains information on how ASIC will implement its industry funding model, that is via levies, and how ASIC will recover regulatory costs</w:t>
      </w:r>
      <w:r w:rsidR="004C4B0B">
        <w:t>.</w:t>
      </w:r>
    </w:p>
  </w:footnote>
  <w:footnote w:id="82">
    <w:p w14:paraId="4BA4AEFB" w14:textId="1C6C712A" w:rsidR="004C4B0B" w:rsidRDefault="00526D0C" w:rsidP="004C4B0B">
      <w:pPr>
        <w:pStyle w:val="FootnoteText"/>
      </w:pPr>
      <w:r w:rsidRPr="00526D0C">
        <w:rPr>
          <w:rStyle w:val="FootnoteReference"/>
          <w:vertAlign w:val="baseline"/>
        </w:rPr>
        <w:footnoteRef/>
      </w:r>
      <w:r w:rsidR="004C4B0B">
        <w:t xml:space="preserve"> </w:t>
      </w:r>
      <w:r w:rsidR="00422489">
        <w:tab/>
      </w:r>
      <w:r w:rsidR="004C4B0B">
        <w:t>Australian Banking Association.</w:t>
      </w:r>
    </w:p>
  </w:footnote>
  <w:footnote w:id="83">
    <w:p w14:paraId="07D9AF59" w14:textId="36D0CAFE" w:rsidR="00E26C84" w:rsidRDefault="00526D0C" w:rsidP="00E26C84">
      <w:pPr>
        <w:pStyle w:val="FootnoteText"/>
      </w:pPr>
      <w:r w:rsidRPr="00526D0C">
        <w:rPr>
          <w:rStyle w:val="FootnoteReference"/>
          <w:vertAlign w:val="baseline"/>
        </w:rPr>
        <w:footnoteRef/>
      </w:r>
      <w:r w:rsidR="004C4B0B">
        <w:t xml:space="preserve"> </w:t>
      </w:r>
      <w:r w:rsidR="00422489">
        <w:tab/>
      </w:r>
      <w:r w:rsidR="004C4B0B" w:rsidRPr="003C38FE">
        <w:t>49</w:t>
      </w:r>
      <w:r w:rsidR="004C4B0B">
        <w:t xml:space="preserve">% </w:t>
      </w:r>
      <w:r w:rsidR="004C4B0B" w:rsidRPr="003C38FE">
        <w:t xml:space="preserve">disagreed and the </w:t>
      </w:r>
      <w:r w:rsidR="004C4B0B">
        <w:t>remainder</w:t>
      </w:r>
      <w:r w:rsidR="004C4B0B" w:rsidRPr="003C38FE">
        <w:t xml:space="preserve"> neutral</w:t>
      </w:r>
      <w:r w:rsidR="004C4B0B">
        <w:t>.</w:t>
      </w:r>
    </w:p>
  </w:footnote>
  <w:footnote w:id="84">
    <w:p w14:paraId="4528ACD8" w14:textId="2CD94295" w:rsidR="00E26C84" w:rsidRDefault="00526D0C" w:rsidP="00E26C84">
      <w:pPr>
        <w:pStyle w:val="FootnoteText"/>
      </w:pPr>
      <w:r w:rsidRPr="00526D0C">
        <w:rPr>
          <w:rStyle w:val="FootnoteReference"/>
          <w:vertAlign w:val="baseline"/>
        </w:rPr>
        <w:footnoteRef/>
      </w:r>
      <w:r w:rsidR="004C4B0B">
        <w:t xml:space="preserve"> </w:t>
      </w:r>
      <w:r w:rsidR="00422489">
        <w:tab/>
      </w:r>
      <w:r w:rsidR="004C4B0B">
        <w:t>CHOICE and confidential submission.</w:t>
      </w:r>
    </w:p>
  </w:footnote>
  <w:footnote w:id="85">
    <w:p w14:paraId="447BA732" w14:textId="17B5F335" w:rsidR="00E26C84" w:rsidRDefault="00526D0C" w:rsidP="00E26C84">
      <w:pPr>
        <w:pStyle w:val="FootnoteText"/>
      </w:pPr>
      <w:r w:rsidRPr="00526D0C">
        <w:rPr>
          <w:rStyle w:val="FootnoteReference"/>
          <w:vertAlign w:val="baseline"/>
        </w:rPr>
        <w:footnoteRef/>
      </w:r>
      <w:r w:rsidR="004C4B0B">
        <w:t xml:space="preserve"> </w:t>
      </w:r>
      <w:r w:rsidR="00422489">
        <w:tab/>
      </w:r>
      <w:r w:rsidR="004C4B0B">
        <w:t>CHOICE.</w:t>
      </w:r>
    </w:p>
  </w:footnote>
  <w:footnote w:id="86">
    <w:p w14:paraId="59325BF4" w14:textId="7A9895F9" w:rsidR="0083287E" w:rsidRPr="0083287E" w:rsidRDefault="00526D0C">
      <w:pPr>
        <w:pStyle w:val="FootnoteText"/>
      </w:pPr>
      <w:r w:rsidRPr="00526D0C">
        <w:rPr>
          <w:rStyle w:val="FootnoteReference"/>
          <w:vertAlign w:val="baseline"/>
        </w:rPr>
        <w:footnoteRef/>
      </w:r>
      <w:r w:rsidR="0083287E" w:rsidRPr="0083287E">
        <w:t xml:space="preserve"> </w:t>
      </w:r>
      <w:r w:rsidR="0083287E">
        <w:tab/>
      </w:r>
      <w:r w:rsidR="0083287E" w:rsidRPr="00CB54D9">
        <w:rPr>
          <w:iCs/>
        </w:rPr>
        <w:t>K Chester</w:t>
      </w:r>
      <w:r w:rsidR="0083287E">
        <w:rPr>
          <w:iCs/>
        </w:rPr>
        <w:t>, M Gray and D Galbally</w:t>
      </w:r>
      <w:r w:rsidR="0083287E">
        <w:t xml:space="preserve">, </w:t>
      </w:r>
      <w:r w:rsidR="0083287E" w:rsidRPr="00CB54D9">
        <w:rPr>
          <w:i/>
        </w:rPr>
        <w:t>Fit for the future: A capability review of the Australian Securities and Investments Commission</w:t>
      </w:r>
      <w:r w:rsidR="0083287E">
        <w:t>, Australian Government, 2015.</w:t>
      </w:r>
    </w:p>
  </w:footnote>
  <w:footnote w:id="87">
    <w:p w14:paraId="56CA0301" w14:textId="799740BF" w:rsidR="00E26C84" w:rsidRDefault="00526D0C" w:rsidP="00E26C84">
      <w:pPr>
        <w:pStyle w:val="FootnoteText"/>
      </w:pPr>
      <w:r w:rsidRPr="00526D0C">
        <w:rPr>
          <w:rStyle w:val="FootnoteReference"/>
          <w:vertAlign w:val="baseline"/>
        </w:rPr>
        <w:footnoteRef/>
      </w:r>
      <w:r w:rsidR="004C4B0B">
        <w:t xml:space="preserve"> </w:t>
      </w:r>
      <w:r w:rsidR="00422489">
        <w:tab/>
      </w:r>
      <w:r w:rsidR="004C4B0B" w:rsidRPr="004F1248">
        <w:t>20</w:t>
      </w:r>
      <w:r w:rsidR="004C4B0B">
        <w:t xml:space="preserve">% </w:t>
      </w:r>
      <w:r w:rsidR="004C4B0B" w:rsidRPr="004F1248">
        <w:t xml:space="preserve">disagreed and the </w:t>
      </w:r>
      <w:r w:rsidR="004C4B0B">
        <w:t>remainder</w:t>
      </w:r>
      <w:r w:rsidR="004C4B0B" w:rsidRPr="004F1248">
        <w:t xml:space="preserve"> neutral</w:t>
      </w:r>
      <w:r w:rsidR="004C4B0B">
        <w:t>.</w:t>
      </w:r>
    </w:p>
  </w:footnote>
  <w:footnote w:id="88">
    <w:p w14:paraId="1EE20F0A" w14:textId="05C48081" w:rsidR="00E26C84" w:rsidRDefault="00526D0C" w:rsidP="00E26C84">
      <w:pPr>
        <w:pStyle w:val="FootnoteText"/>
      </w:pPr>
      <w:r w:rsidRPr="00526D0C">
        <w:rPr>
          <w:rStyle w:val="FootnoteReference"/>
          <w:vertAlign w:val="baseline"/>
        </w:rPr>
        <w:footnoteRef/>
      </w:r>
      <w:r w:rsidR="004C4B0B">
        <w:t xml:space="preserve"> </w:t>
      </w:r>
      <w:r w:rsidR="00422489">
        <w:tab/>
      </w:r>
      <w:r w:rsidR="004C4B0B">
        <w:t>For more information on the impact assessment framework</w:t>
      </w:r>
      <w:r w:rsidR="008835B0">
        <w:t>,</w:t>
      </w:r>
      <w:r w:rsidR="004C4B0B">
        <w:t xml:space="preserve"> refer </w:t>
      </w:r>
      <w:r w:rsidR="008835B0">
        <w:t>paragraph</w:t>
      </w:r>
      <w:r w:rsidR="004C4B0B">
        <w:t xml:space="preserve"> 4.</w:t>
      </w:r>
      <w:r w:rsidR="004C4B0B" w:rsidRPr="008E4CBA">
        <w:t>84</w:t>
      </w:r>
      <w:r w:rsidR="004C4B0B">
        <w:t>.</w:t>
      </w:r>
    </w:p>
  </w:footnote>
  <w:footnote w:id="89">
    <w:p w14:paraId="28427C38" w14:textId="54BC4629" w:rsidR="00A86C9E" w:rsidRPr="00F3366C" w:rsidRDefault="00526D0C" w:rsidP="00A86C9E">
      <w:pPr>
        <w:pStyle w:val="FootnoteText"/>
      </w:pPr>
      <w:r w:rsidRPr="00526D0C">
        <w:rPr>
          <w:rStyle w:val="FootnoteReference"/>
          <w:vertAlign w:val="baseline"/>
        </w:rPr>
        <w:footnoteRef/>
      </w:r>
      <w:r w:rsidR="00A86C9E">
        <w:t xml:space="preserve"> </w:t>
      </w:r>
      <w:r w:rsidR="00422489">
        <w:tab/>
      </w:r>
      <w:r w:rsidR="005A2903">
        <w:t xml:space="preserve">ASIC, </w:t>
      </w:r>
      <w:r w:rsidR="005A2903" w:rsidRPr="00140678">
        <w:t xml:space="preserve">Material supplied to this </w:t>
      </w:r>
      <w:r w:rsidR="00973EE9" w:rsidRPr="00140678">
        <w:t>r</w:t>
      </w:r>
      <w:r w:rsidR="005A2903" w:rsidRPr="00140678">
        <w:t>eview,</w:t>
      </w:r>
      <w:r w:rsidR="005A2903">
        <w:rPr>
          <w:i/>
          <w:iCs/>
        </w:rPr>
        <w:t xml:space="preserve"> </w:t>
      </w:r>
      <w:r w:rsidR="005A2903" w:rsidRPr="00722D5A">
        <w:t>2022</w:t>
      </w:r>
      <w:r w:rsidR="00C04DEF">
        <w:t>. T</w:t>
      </w:r>
      <w:r w:rsidR="005A2903">
        <w:t>otal ASIC staffing for 2021</w:t>
      </w:r>
      <w:r w:rsidR="0011471E">
        <w:t>–</w:t>
      </w:r>
      <w:r w:rsidR="005A2903">
        <w:t>22</w:t>
      </w:r>
      <w:r w:rsidR="00756327">
        <w:t xml:space="preserve"> is</w:t>
      </w:r>
      <w:r w:rsidR="005A2903">
        <w:t xml:space="preserve"> 1,948 FTE. </w:t>
      </w:r>
      <w:r w:rsidR="00D01BD7">
        <w:br/>
      </w:r>
      <w:r w:rsidR="00AF11F2">
        <w:t>Twenty</w:t>
      </w:r>
      <w:r w:rsidR="00EF40B0">
        <w:noBreakHyphen/>
      </w:r>
      <w:r w:rsidR="00AF11F2">
        <w:t>five per cent</w:t>
      </w:r>
      <w:r w:rsidR="005A2903">
        <w:t xml:space="preserve"> represents the </w:t>
      </w:r>
      <w:r w:rsidR="005A2903" w:rsidRPr="00F3366C">
        <w:t>25</w:t>
      </w:r>
      <w:r w:rsidR="005A2903">
        <w:t>9</w:t>
      </w:r>
      <w:r w:rsidR="005A2903" w:rsidRPr="00F3366C">
        <w:t xml:space="preserve"> </w:t>
      </w:r>
      <w:r w:rsidR="0011471E">
        <w:t>Financial Services and Wealth</w:t>
      </w:r>
      <w:r w:rsidR="0011471E" w:rsidRPr="00F3366C">
        <w:t xml:space="preserve"> </w:t>
      </w:r>
      <w:r w:rsidR="005A2903" w:rsidRPr="00F3366C">
        <w:t>Group staff</w:t>
      </w:r>
      <w:r w:rsidR="004A1B5A">
        <w:t xml:space="preserve"> </w:t>
      </w:r>
      <w:r w:rsidR="00AF11F2">
        <w:t>members</w:t>
      </w:r>
      <w:r w:rsidR="004A1B5A">
        <w:t xml:space="preserve"> and</w:t>
      </w:r>
      <w:r w:rsidR="005A2903" w:rsidRPr="00F3366C">
        <w:t xml:space="preserve"> 2</w:t>
      </w:r>
      <w:r w:rsidR="005A2903">
        <w:t>24</w:t>
      </w:r>
      <w:r w:rsidR="00D01BD7">
        <w:t> </w:t>
      </w:r>
      <w:r w:rsidR="005A2903" w:rsidRPr="00F3366C">
        <w:t>Markets Group</w:t>
      </w:r>
      <w:r w:rsidR="004A1B5A">
        <w:t xml:space="preserve"> staff</w:t>
      </w:r>
      <w:r w:rsidR="00934734">
        <w:t xml:space="preserve"> members</w:t>
      </w:r>
      <w:r w:rsidR="005A2903">
        <w:t>.</w:t>
      </w:r>
      <w:r w:rsidR="005A2903" w:rsidRPr="00F3366C">
        <w:t xml:space="preserve"> Small Business Engagement </w:t>
      </w:r>
      <w:r w:rsidR="009B6535">
        <w:t>and</w:t>
      </w:r>
      <w:r w:rsidR="005A2903" w:rsidRPr="00F3366C">
        <w:t xml:space="preserve"> Compliance</w:t>
      </w:r>
      <w:r w:rsidR="005A2903">
        <w:t xml:space="preserve"> has been included under </w:t>
      </w:r>
      <w:r w:rsidR="00934734">
        <w:t>E</w:t>
      </w:r>
      <w:r w:rsidR="005A2903">
        <w:t>nforcement</w:t>
      </w:r>
      <w:r w:rsidR="005A2903" w:rsidRPr="00F3366C">
        <w:t xml:space="preserve">. </w:t>
      </w:r>
    </w:p>
  </w:footnote>
  <w:footnote w:id="90">
    <w:p w14:paraId="19A42A91" w14:textId="04E17947" w:rsidR="00A86C9E" w:rsidRDefault="00526D0C" w:rsidP="00A86C9E">
      <w:pPr>
        <w:pStyle w:val="FootnoteText"/>
      </w:pPr>
      <w:r w:rsidRPr="00526D0C">
        <w:rPr>
          <w:rStyle w:val="FootnoteReference"/>
          <w:vertAlign w:val="baseline"/>
        </w:rPr>
        <w:footnoteRef/>
      </w:r>
      <w:r w:rsidR="00A86C9E" w:rsidRPr="00F3366C">
        <w:t xml:space="preserve"> </w:t>
      </w:r>
      <w:r w:rsidR="00422489">
        <w:tab/>
      </w:r>
      <w:r w:rsidR="00AC3E78" w:rsidRPr="00F3366C">
        <w:t xml:space="preserve">ASIC, </w:t>
      </w:r>
      <w:r w:rsidR="00AC3E78" w:rsidRPr="006470FC">
        <w:t xml:space="preserve">Material supplied to this </w:t>
      </w:r>
      <w:r w:rsidR="00044D1C" w:rsidRPr="006470FC">
        <w:t>r</w:t>
      </w:r>
      <w:r w:rsidR="00AC3E78" w:rsidRPr="006470FC">
        <w:t>eview,</w:t>
      </w:r>
      <w:r w:rsidR="00AC3E78">
        <w:rPr>
          <w:i/>
          <w:iCs/>
        </w:rPr>
        <w:t xml:space="preserve"> </w:t>
      </w:r>
      <w:r w:rsidR="00AC3E78" w:rsidRPr="00D95B8D">
        <w:t>2022.</w:t>
      </w:r>
    </w:p>
  </w:footnote>
  <w:footnote w:id="91">
    <w:p w14:paraId="3E95F0EB" w14:textId="7E267BAE" w:rsidR="00A86C9E" w:rsidRDefault="00526D0C" w:rsidP="00A86C9E">
      <w:pPr>
        <w:pStyle w:val="FootnoteText"/>
      </w:pPr>
      <w:r w:rsidRPr="00526D0C">
        <w:rPr>
          <w:rStyle w:val="FootnoteReference"/>
          <w:vertAlign w:val="baseline"/>
        </w:rPr>
        <w:footnoteRef/>
      </w:r>
      <w:r w:rsidR="00A86C9E">
        <w:t xml:space="preserve"> </w:t>
      </w:r>
      <w:r w:rsidR="00422489">
        <w:tab/>
      </w:r>
      <w:r w:rsidR="00A86C9E">
        <w:t>T</w:t>
      </w:r>
      <w:r w:rsidR="00A86C9E" w:rsidRPr="00F4372D">
        <w:t xml:space="preserve">hematic surveillances </w:t>
      </w:r>
      <w:r w:rsidR="00A86C9E">
        <w:t>are</w:t>
      </w:r>
      <w:r w:rsidR="00A86C9E" w:rsidRPr="00F4372D">
        <w:t xml:space="preserve"> effective in achieving their purpose</w:t>
      </w:r>
      <w:r w:rsidR="00A86C9E">
        <w:t xml:space="preserve">: 63% agreed, </w:t>
      </w:r>
      <w:r w:rsidR="00A86C9E" w:rsidRPr="00F4372D">
        <w:t>6% disagreed and the remainder neutral)</w:t>
      </w:r>
      <w:r w:rsidR="00A86C9E">
        <w:t>;</w:t>
      </w:r>
      <w:r w:rsidR="00A86C9E" w:rsidRPr="00F4372D">
        <w:t xml:space="preserve"> surveillances of entities or individuals </w:t>
      </w:r>
      <w:r w:rsidR="00A86C9E">
        <w:t>are</w:t>
      </w:r>
      <w:r w:rsidR="00A86C9E" w:rsidRPr="00F4372D">
        <w:t xml:space="preserve"> effective in achieving their purpose</w:t>
      </w:r>
      <w:r w:rsidR="00A86C9E">
        <w:t>:</w:t>
      </w:r>
      <w:r w:rsidR="00A86C9E" w:rsidRPr="00F4372D">
        <w:t xml:space="preserve"> </w:t>
      </w:r>
      <w:r w:rsidR="00002267">
        <w:br/>
      </w:r>
      <w:r w:rsidR="00A86C9E" w:rsidRPr="004414D0">
        <w:t>65%</w:t>
      </w:r>
      <w:r w:rsidR="00A86C9E">
        <w:t xml:space="preserve"> agreed, </w:t>
      </w:r>
      <w:r w:rsidR="00A86C9E" w:rsidRPr="00F4372D">
        <w:t>5% disagreed and the remainder neutral</w:t>
      </w:r>
      <w:r w:rsidR="00A86C9E">
        <w:t>;</w:t>
      </w:r>
      <w:r w:rsidR="00A86C9E" w:rsidRPr="00F4372D">
        <w:t xml:space="preserve"> programmatic surveillances </w:t>
      </w:r>
      <w:r w:rsidR="00A86C9E">
        <w:t>are</w:t>
      </w:r>
      <w:r w:rsidR="00A86C9E" w:rsidRPr="00F4372D">
        <w:t xml:space="preserve"> effective in achieving their purpose</w:t>
      </w:r>
      <w:r w:rsidR="00A86C9E">
        <w:t>:</w:t>
      </w:r>
      <w:r w:rsidR="00A86C9E" w:rsidRPr="00F4372D">
        <w:t xml:space="preserve"> </w:t>
      </w:r>
      <w:r w:rsidR="00A86C9E" w:rsidRPr="004414D0">
        <w:t>60%</w:t>
      </w:r>
      <w:r w:rsidR="00A86C9E">
        <w:t xml:space="preserve"> agreed, </w:t>
      </w:r>
      <w:r w:rsidR="00A86C9E" w:rsidRPr="00F4372D">
        <w:t>6% disagreed and the remainder neutral</w:t>
      </w:r>
      <w:r w:rsidR="00A86C9E">
        <w:t>.</w:t>
      </w:r>
    </w:p>
  </w:footnote>
  <w:footnote w:id="92">
    <w:p w14:paraId="194830F4" w14:textId="08FA6F2B" w:rsidR="00A86C9E" w:rsidRDefault="00526D0C" w:rsidP="00A86C9E">
      <w:pPr>
        <w:pStyle w:val="FootnoteText"/>
      </w:pPr>
      <w:r w:rsidRPr="00526D0C">
        <w:rPr>
          <w:rStyle w:val="FootnoteReference"/>
          <w:vertAlign w:val="baseline"/>
        </w:rPr>
        <w:footnoteRef/>
      </w:r>
      <w:r w:rsidR="00A86C9E">
        <w:t xml:space="preserve"> </w:t>
      </w:r>
      <w:r w:rsidR="00422489">
        <w:tab/>
      </w:r>
      <w:r w:rsidR="00A86C9E">
        <w:t>CHOICE</w:t>
      </w:r>
      <w:r w:rsidR="00541D09">
        <w:t>,</w:t>
      </w:r>
      <w:r w:rsidR="005476C8">
        <w:t xml:space="preserve"> </w:t>
      </w:r>
      <w:r w:rsidR="00A86C9E">
        <w:t>Consumer Action Law Centre.</w:t>
      </w:r>
    </w:p>
  </w:footnote>
  <w:footnote w:id="93">
    <w:p w14:paraId="434EDC00" w14:textId="69CAAB73" w:rsidR="00A86C9E" w:rsidRDefault="00526D0C" w:rsidP="00A86C9E">
      <w:pPr>
        <w:pStyle w:val="FootnoteText"/>
      </w:pPr>
      <w:r w:rsidRPr="00526D0C">
        <w:rPr>
          <w:rStyle w:val="FootnoteReference"/>
          <w:vertAlign w:val="baseline"/>
        </w:rPr>
        <w:footnoteRef/>
      </w:r>
      <w:r w:rsidR="00A86C9E">
        <w:t xml:space="preserve"> </w:t>
      </w:r>
      <w:r w:rsidR="00422489">
        <w:tab/>
      </w:r>
      <w:r w:rsidR="00A86C9E" w:rsidRPr="00E11B46">
        <w:t>49% disagreed and the remainder neutral</w:t>
      </w:r>
      <w:r w:rsidR="00F23443">
        <w:t>.</w:t>
      </w:r>
      <w:r w:rsidR="00A86C9E">
        <w:t xml:space="preserve"> </w:t>
      </w:r>
      <w:r w:rsidR="00F23443">
        <w:t>T</w:t>
      </w:r>
      <w:r w:rsidR="00A86C9E" w:rsidRPr="00B70FFE">
        <w:t xml:space="preserve">he </w:t>
      </w:r>
      <w:r w:rsidR="009107B6">
        <w:t>stakeholder</w:t>
      </w:r>
      <w:r w:rsidR="00A86C9E" w:rsidRPr="00B70FFE">
        <w:t xml:space="preserve"> survey evidenced in this </w:t>
      </w:r>
      <w:r w:rsidR="00093F69">
        <w:t>r</w:t>
      </w:r>
      <w:r w:rsidR="00A86C9E" w:rsidRPr="00B70FFE">
        <w:t>eview represents a sample of ASIC</w:t>
      </w:r>
      <w:r w:rsidR="00EF40B0">
        <w:t>’</w:t>
      </w:r>
      <w:r w:rsidR="00A86C9E" w:rsidRPr="00B70FFE">
        <w:t xml:space="preserve">s regulated population and may not be indicative of all organisations and markets sectors regulated by ASIC. For more details see Appendix </w:t>
      </w:r>
      <w:r w:rsidR="00A86C9E">
        <w:t>A.</w:t>
      </w:r>
    </w:p>
  </w:footnote>
  <w:footnote w:id="94">
    <w:p w14:paraId="435AB5A8" w14:textId="34F08FA8" w:rsidR="00A86C9E" w:rsidRDefault="00526D0C" w:rsidP="00A86C9E">
      <w:pPr>
        <w:pStyle w:val="FootnoteText"/>
      </w:pPr>
      <w:r w:rsidRPr="00526D0C">
        <w:rPr>
          <w:rStyle w:val="FootnoteReference"/>
          <w:vertAlign w:val="baseline"/>
        </w:rPr>
        <w:footnoteRef/>
      </w:r>
      <w:r w:rsidR="00A86C9E">
        <w:t xml:space="preserve"> </w:t>
      </w:r>
      <w:r w:rsidR="00422489">
        <w:tab/>
      </w:r>
      <w:r w:rsidR="00A86C9E" w:rsidRPr="00641B51">
        <w:t>66% disagreed and the remainder neutral</w:t>
      </w:r>
      <w:r w:rsidR="00A86C9E">
        <w:t>.</w:t>
      </w:r>
    </w:p>
  </w:footnote>
  <w:footnote w:id="95">
    <w:p w14:paraId="09F7C22E" w14:textId="19A1A82D" w:rsidR="00A86C9E" w:rsidRDefault="00526D0C" w:rsidP="00A86C9E">
      <w:pPr>
        <w:pStyle w:val="FootnoteText"/>
      </w:pPr>
      <w:r w:rsidRPr="00526D0C">
        <w:rPr>
          <w:rStyle w:val="FootnoteReference"/>
          <w:vertAlign w:val="baseline"/>
        </w:rPr>
        <w:footnoteRef/>
      </w:r>
      <w:r w:rsidR="00422489">
        <w:t xml:space="preserve"> </w:t>
      </w:r>
      <w:r w:rsidR="00422489">
        <w:tab/>
      </w:r>
      <w:r w:rsidR="00A86C9E" w:rsidRPr="00F3366C">
        <w:t>Law Council of Australia</w:t>
      </w:r>
      <w:r w:rsidR="00EF3BC8">
        <w:t>,</w:t>
      </w:r>
      <w:r w:rsidR="00A86C9E" w:rsidRPr="00F3366C">
        <w:t xml:space="preserve"> Australian Institute of Superannuation Trustees</w:t>
      </w:r>
      <w:r w:rsidR="00EF3BC8">
        <w:t>,</w:t>
      </w:r>
      <w:r w:rsidR="00A86C9E" w:rsidRPr="00F3366C">
        <w:t xml:space="preserve"> Business Council of Australia</w:t>
      </w:r>
      <w:r w:rsidR="00EF3BC8">
        <w:t>,</w:t>
      </w:r>
      <w:r w:rsidR="00A86C9E" w:rsidRPr="00F3366C">
        <w:t xml:space="preserve"> Australian Financial Markets Association</w:t>
      </w:r>
      <w:r w:rsidR="00EF3BC8">
        <w:t>,</w:t>
      </w:r>
      <w:r w:rsidR="00A86C9E" w:rsidRPr="00F3366C">
        <w:t xml:space="preserve"> confidential submissions</w:t>
      </w:r>
      <w:r w:rsidR="006B3299">
        <w:t>,</w:t>
      </w:r>
      <w:r w:rsidR="00E262D6">
        <w:t xml:space="preserve"> </w:t>
      </w:r>
      <w:r w:rsidR="006B3299">
        <w:t>s</w:t>
      </w:r>
      <w:r w:rsidR="009107B6">
        <w:t>takeholder</w:t>
      </w:r>
      <w:r w:rsidR="00A86C9E" w:rsidRPr="00F3366C">
        <w:t xml:space="preserve"> survey</w:t>
      </w:r>
      <w:r w:rsidR="006B3299">
        <w:t>,</w:t>
      </w:r>
      <w:r w:rsidR="00A86C9E" w:rsidRPr="00F3366C">
        <w:t xml:space="preserve"> </w:t>
      </w:r>
      <w:r w:rsidR="006B3299">
        <w:t>c</w:t>
      </w:r>
      <w:r w:rsidR="00A86C9E" w:rsidRPr="00F3366C">
        <w:t>ompulsory notices refer to ASIC</w:t>
      </w:r>
      <w:r w:rsidR="00EF40B0">
        <w:t>’</w:t>
      </w:r>
      <w:r w:rsidR="00A86C9E" w:rsidRPr="00F3366C">
        <w:t>s use of information</w:t>
      </w:r>
      <w:r w:rsidR="00EF40B0">
        <w:noBreakHyphen/>
      </w:r>
      <w:r w:rsidR="00A86C9E" w:rsidRPr="00F3366C">
        <w:t>gathering powers to inspect books and records, or to compel the production of documents or the disclosure of information.</w:t>
      </w:r>
    </w:p>
  </w:footnote>
  <w:footnote w:id="96">
    <w:p w14:paraId="00E11184" w14:textId="2E777B37" w:rsidR="00A86C9E" w:rsidRDefault="00526D0C" w:rsidP="00A86C9E">
      <w:pPr>
        <w:pStyle w:val="FootnoteText"/>
      </w:pPr>
      <w:r w:rsidRPr="00526D0C">
        <w:rPr>
          <w:rStyle w:val="FootnoteReference"/>
          <w:vertAlign w:val="baseline"/>
        </w:rPr>
        <w:footnoteRef/>
      </w:r>
      <w:r w:rsidR="00A86C9E">
        <w:t xml:space="preserve"> </w:t>
      </w:r>
      <w:r w:rsidR="00422489">
        <w:tab/>
      </w:r>
      <w:r w:rsidR="00CD7EB5" w:rsidRPr="006470FC">
        <w:t xml:space="preserve">ASIC, </w:t>
      </w:r>
      <w:hyperlink r:id="rId21" w:history="1">
        <w:r w:rsidR="00A86C9E" w:rsidRPr="006470FC">
          <w:rPr>
            <w:rStyle w:val="Hyperlink"/>
            <w:i/>
            <w:iCs/>
          </w:rPr>
          <w:t>ASIC</w:t>
        </w:r>
        <w:r w:rsidR="00EF40B0">
          <w:rPr>
            <w:rStyle w:val="Hyperlink"/>
            <w:i/>
            <w:iCs/>
          </w:rPr>
          <w:t>’</w:t>
        </w:r>
        <w:r w:rsidR="00A86C9E" w:rsidRPr="006470FC">
          <w:rPr>
            <w:rStyle w:val="Hyperlink"/>
            <w:i/>
            <w:iCs/>
          </w:rPr>
          <w:t>s compulsory information</w:t>
        </w:r>
        <w:r w:rsidR="00EF40B0">
          <w:rPr>
            <w:rStyle w:val="Hyperlink"/>
            <w:i/>
            <w:iCs/>
          </w:rPr>
          <w:noBreakHyphen/>
        </w:r>
        <w:r w:rsidR="00A86C9E" w:rsidRPr="006470FC">
          <w:rPr>
            <w:rStyle w:val="Hyperlink"/>
            <w:i/>
            <w:iCs/>
          </w:rPr>
          <w:t xml:space="preserve">gathering powers </w:t>
        </w:r>
        <w:r w:rsidR="00A86C9E" w:rsidRPr="006470FC">
          <w:rPr>
            <w:rStyle w:val="Hyperlink"/>
          </w:rPr>
          <w:t>(INFO 145)</w:t>
        </w:r>
      </w:hyperlink>
      <w:r w:rsidR="00084BCD" w:rsidRPr="006470FC">
        <w:t xml:space="preserve">, </w:t>
      </w:r>
      <w:r w:rsidR="00631E2C">
        <w:t xml:space="preserve">ASIC website, 2020, </w:t>
      </w:r>
      <w:r w:rsidR="00084BCD" w:rsidRPr="006470FC">
        <w:t>accessed 27 July 2022.</w:t>
      </w:r>
    </w:p>
  </w:footnote>
  <w:footnote w:id="97">
    <w:p w14:paraId="524F8B8C" w14:textId="17FC68BC" w:rsidR="00A86C9E" w:rsidRDefault="00526D0C" w:rsidP="00A86C9E">
      <w:pPr>
        <w:pStyle w:val="FootnoteText"/>
      </w:pPr>
      <w:r w:rsidRPr="00526D0C">
        <w:rPr>
          <w:rStyle w:val="FootnoteReference"/>
          <w:vertAlign w:val="baseline"/>
        </w:rPr>
        <w:footnoteRef/>
      </w:r>
      <w:r w:rsidR="00A86C9E">
        <w:t xml:space="preserve"> </w:t>
      </w:r>
      <w:r w:rsidR="00422489">
        <w:tab/>
      </w:r>
      <w:r w:rsidR="00A86C9E" w:rsidRPr="005253FF">
        <w:t>One submission noted that on occasion, they encountered duplicated information requests from ASIC.</w:t>
      </w:r>
    </w:p>
  </w:footnote>
  <w:footnote w:id="98">
    <w:p w14:paraId="50A9502D" w14:textId="0F90913C" w:rsidR="00A86C9E" w:rsidDel="00832AB0" w:rsidRDefault="00526D0C" w:rsidP="00A86C9E">
      <w:pPr>
        <w:pStyle w:val="FootnoteText"/>
      </w:pPr>
      <w:r w:rsidRPr="00526D0C" w:rsidDel="00832AB0">
        <w:rPr>
          <w:rStyle w:val="FootnoteReference"/>
          <w:vertAlign w:val="baseline"/>
        </w:rPr>
        <w:footnoteRef/>
      </w:r>
      <w:r w:rsidR="00A86C9E">
        <w:t xml:space="preserve"> </w:t>
      </w:r>
      <w:r w:rsidR="00422489">
        <w:tab/>
      </w:r>
      <w:r w:rsidR="00A86C9E" w:rsidRPr="0063569F">
        <w:t>45% disagreed and the remainder neutral</w:t>
      </w:r>
      <w:r w:rsidR="00A86C9E">
        <w:t>.</w:t>
      </w:r>
    </w:p>
  </w:footnote>
  <w:footnote w:id="99">
    <w:p w14:paraId="0A75B1C8" w14:textId="16EDF064" w:rsidR="00A86C9E" w:rsidRDefault="00526D0C" w:rsidP="00A86C9E">
      <w:pPr>
        <w:pStyle w:val="FootnoteText"/>
      </w:pPr>
      <w:r w:rsidRPr="00526D0C">
        <w:rPr>
          <w:rStyle w:val="FootnoteReference"/>
          <w:vertAlign w:val="baseline"/>
        </w:rPr>
        <w:footnoteRef/>
      </w:r>
      <w:r w:rsidR="00A86C9E">
        <w:t xml:space="preserve"> </w:t>
      </w:r>
      <w:r w:rsidR="00422489">
        <w:tab/>
      </w:r>
      <w:r w:rsidR="00A86C9E" w:rsidRPr="008F5A8C">
        <w:t xml:space="preserve">14% disagreed and </w:t>
      </w:r>
      <w:r w:rsidR="00F23B48">
        <w:t>the</w:t>
      </w:r>
      <w:r w:rsidR="00A86C9E" w:rsidRPr="008F5A8C">
        <w:t xml:space="preserve"> remainder neutral</w:t>
      </w:r>
      <w:r w:rsidR="00A86C9E">
        <w:t>.</w:t>
      </w:r>
    </w:p>
  </w:footnote>
  <w:footnote w:id="100">
    <w:p w14:paraId="6031FA8E" w14:textId="7866D1EC" w:rsidR="00A86C9E" w:rsidRDefault="00526D0C" w:rsidP="00A86C9E">
      <w:pPr>
        <w:pStyle w:val="FootnoteText"/>
      </w:pPr>
      <w:r w:rsidRPr="00526D0C">
        <w:rPr>
          <w:rStyle w:val="FootnoteReference"/>
          <w:vertAlign w:val="baseline"/>
        </w:rPr>
        <w:footnoteRef/>
      </w:r>
      <w:r w:rsidR="00A86C9E">
        <w:t xml:space="preserve"> </w:t>
      </w:r>
      <w:r w:rsidR="00422489">
        <w:tab/>
      </w:r>
      <w:r w:rsidR="00A86C9E" w:rsidRPr="002257AA">
        <w:t>35% disagreed and the remainder neutral</w:t>
      </w:r>
      <w:r w:rsidR="00A86C9E">
        <w:t>.</w:t>
      </w:r>
    </w:p>
  </w:footnote>
  <w:footnote w:id="101">
    <w:p w14:paraId="7865FC90" w14:textId="21BA4D0E" w:rsidR="00A86C9E" w:rsidRDefault="00526D0C" w:rsidP="00D01BD7">
      <w:pPr>
        <w:pStyle w:val="FootnoteText"/>
      </w:pPr>
      <w:r w:rsidRPr="00526D0C">
        <w:rPr>
          <w:rStyle w:val="FootnoteReference"/>
          <w:vertAlign w:val="baseline"/>
        </w:rPr>
        <w:footnoteRef/>
      </w:r>
      <w:r w:rsidR="00A86C9E">
        <w:t xml:space="preserve"> </w:t>
      </w:r>
      <w:r w:rsidR="00422489">
        <w:tab/>
      </w:r>
      <w:r w:rsidR="00A86C9E">
        <w:t>W</w:t>
      </w:r>
      <w:r w:rsidR="00A86C9E" w:rsidRPr="00944908">
        <w:t>here relevant, information is appropriately shared between ASIC teams to support surveillance activities</w:t>
      </w:r>
      <w:r w:rsidR="00A86C9E">
        <w:t xml:space="preserve">: 66% agreed, </w:t>
      </w:r>
      <w:r w:rsidR="00A86C9E" w:rsidRPr="00944908">
        <w:t>13% disagreed and the remainder neutral</w:t>
      </w:r>
      <w:r w:rsidR="00A86C9E">
        <w:t xml:space="preserve">; I </w:t>
      </w:r>
      <w:r w:rsidR="00A86C9E" w:rsidRPr="00443C1A">
        <w:t>have access to information collected during licensing applications to assist my surveillance activities</w:t>
      </w:r>
      <w:r w:rsidR="00A86C9E">
        <w:t>:</w:t>
      </w:r>
      <w:r w:rsidR="00A86C9E" w:rsidRPr="000973F0">
        <w:t xml:space="preserve"> </w:t>
      </w:r>
      <w:r w:rsidR="00A86C9E" w:rsidRPr="00944908">
        <w:t>59% agreed</w:t>
      </w:r>
      <w:r w:rsidR="00A86C9E">
        <w:t xml:space="preserve">, </w:t>
      </w:r>
      <w:r w:rsidR="00A86C9E" w:rsidRPr="00944908">
        <w:t>18% disagree and the remainder neutral.</w:t>
      </w:r>
    </w:p>
  </w:footnote>
  <w:footnote w:id="102">
    <w:p w14:paraId="7B971E7D" w14:textId="4C6C300F" w:rsidR="00A86C9E" w:rsidRDefault="00526D0C" w:rsidP="00A86C9E">
      <w:pPr>
        <w:pStyle w:val="FootnoteText"/>
      </w:pPr>
      <w:r w:rsidRPr="00526D0C">
        <w:rPr>
          <w:rStyle w:val="FootnoteReference"/>
          <w:vertAlign w:val="baseline"/>
        </w:rPr>
        <w:footnoteRef/>
      </w:r>
      <w:r w:rsidR="00A86C9E">
        <w:t xml:space="preserve"> </w:t>
      </w:r>
      <w:r w:rsidR="00D01BD7">
        <w:tab/>
      </w:r>
      <w:r w:rsidR="001B2162">
        <w:t>ASIC f</w:t>
      </w:r>
      <w:r w:rsidR="00D909A8">
        <w:t>ocus</w:t>
      </w:r>
      <w:r w:rsidR="00A86C9E">
        <w:t xml:space="preserve"> groups.</w:t>
      </w:r>
    </w:p>
  </w:footnote>
  <w:footnote w:id="103">
    <w:p w14:paraId="6F799D1D" w14:textId="32928D85" w:rsidR="00A86C9E" w:rsidRDefault="00526D0C" w:rsidP="00A86C9E">
      <w:pPr>
        <w:pStyle w:val="FootnoteText"/>
      </w:pPr>
      <w:r w:rsidRPr="00526D0C">
        <w:rPr>
          <w:rStyle w:val="FootnoteReference"/>
          <w:vertAlign w:val="baseline"/>
        </w:rPr>
        <w:footnoteRef/>
      </w:r>
      <w:r w:rsidR="00A86C9E">
        <w:t xml:space="preserve"> </w:t>
      </w:r>
      <w:r w:rsidR="00422489">
        <w:tab/>
      </w:r>
      <w:r w:rsidR="00A86C9E" w:rsidRPr="00577146">
        <w:t>10% disagreed and the remainder neutral</w:t>
      </w:r>
      <w:r w:rsidR="00A86C9E">
        <w:t>.</w:t>
      </w:r>
    </w:p>
  </w:footnote>
  <w:footnote w:id="104">
    <w:p w14:paraId="278D5D8B" w14:textId="48C9837E" w:rsidR="00A86C9E" w:rsidRDefault="00526D0C" w:rsidP="00A86C9E">
      <w:pPr>
        <w:pStyle w:val="FootnoteText"/>
      </w:pPr>
      <w:r w:rsidRPr="00526D0C">
        <w:rPr>
          <w:rStyle w:val="FootnoteReference"/>
          <w:vertAlign w:val="baseline"/>
        </w:rPr>
        <w:footnoteRef/>
      </w:r>
      <w:r w:rsidR="00A86C9E">
        <w:t xml:space="preserve"> </w:t>
      </w:r>
      <w:r w:rsidR="00422489">
        <w:tab/>
      </w:r>
      <w:r w:rsidR="00A86C9E" w:rsidRPr="00577146">
        <w:t>58% disagreed and the remainder neutral</w:t>
      </w:r>
      <w:r w:rsidR="00A86C9E">
        <w:t>.</w:t>
      </w:r>
    </w:p>
  </w:footnote>
  <w:footnote w:id="105">
    <w:p w14:paraId="754A68A5" w14:textId="7528C65D" w:rsidR="00A86C9E" w:rsidRDefault="00526D0C" w:rsidP="00A86C9E">
      <w:pPr>
        <w:pStyle w:val="FootnoteText"/>
      </w:pPr>
      <w:r w:rsidRPr="00526D0C">
        <w:rPr>
          <w:rStyle w:val="FootnoteReference"/>
          <w:vertAlign w:val="baseline"/>
        </w:rPr>
        <w:footnoteRef/>
      </w:r>
      <w:r w:rsidR="00A86C9E">
        <w:t xml:space="preserve"> </w:t>
      </w:r>
      <w:r w:rsidR="00422489">
        <w:tab/>
      </w:r>
      <w:r w:rsidR="00A86C9E" w:rsidRPr="00E124E5">
        <w:t>50% disagreed and the remainder neutra</w:t>
      </w:r>
      <w:r w:rsidR="00A86C9E">
        <w:t>l.</w:t>
      </w:r>
    </w:p>
  </w:footnote>
  <w:footnote w:id="106">
    <w:p w14:paraId="429D8943" w14:textId="051B1BA8" w:rsidR="00A86C9E" w:rsidRDefault="00526D0C" w:rsidP="00A86C9E">
      <w:pPr>
        <w:pStyle w:val="FootnoteText"/>
      </w:pPr>
      <w:r w:rsidRPr="00526D0C">
        <w:rPr>
          <w:rStyle w:val="FootnoteReference"/>
          <w:vertAlign w:val="baseline"/>
        </w:rPr>
        <w:footnoteRef/>
      </w:r>
      <w:r w:rsidR="00A86C9E">
        <w:t xml:space="preserve"> </w:t>
      </w:r>
      <w:r w:rsidR="00422489">
        <w:tab/>
      </w:r>
      <w:r w:rsidR="00A86C9E">
        <w:t>CPA Australia.</w:t>
      </w:r>
    </w:p>
  </w:footnote>
  <w:footnote w:id="107">
    <w:p w14:paraId="30A7AAFA" w14:textId="2F9078D9" w:rsidR="00A86C9E" w:rsidRDefault="00526D0C" w:rsidP="00A86C9E">
      <w:pPr>
        <w:pStyle w:val="FootnoteText"/>
      </w:pPr>
      <w:r w:rsidRPr="00526D0C">
        <w:rPr>
          <w:rStyle w:val="FootnoteReference"/>
          <w:vertAlign w:val="baseline"/>
        </w:rPr>
        <w:footnoteRef/>
      </w:r>
      <w:r w:rsidR="00A86C9E">
        <w:t xml:space="preserve"> </w:t>
      </w:r>
      <w:r w:rsidR="00422489">
        <w:tab/>
      </w:r>
      <w:r w:rsidR="00A86C9E">
        <w:t>Business Council of Australia.</w:t>
      </w:r>
    </w:p>
  </w:footnote>
  <w:footnote w:id="108">
    <w:p w14:paraId="2B571848" w14:textId="5510BCB2" w:rsidR="00A86C9E" w:rsidRDefault="00526D0C" w:rsidP="00A86C9E">
      <w:pPr>
        <w:pStyle w:val="FootnoteText"/>
      </w:pPr>
      <w:r w:rsidRPr="00526D0C">
        <w:rPr>
          <w:rStyle w:val="FootnoteReference"/>
          <w:vertAlign w:val="baseline"/>
        </w:rPr>
        <w:footnoteRef/>
      </w:r>
      <w:r w:rsidR="00A86C9E">
        <w:t xml:space="preserve"> </w:t>
      </w:r>
      <w:r w:rsidR="00422489">
        <w:tab/>
      </w:r>
      <w:r w:rsidR="00A86C9E" w:rsidRPr="008A0431">
        <w:t>The capability descriptors and associated proficiency levels included in the staff self</w:t>
      </w:r>
      <w:r w:rsidR="00EF40B0">
        <w:noBreakHyphen/>
      </w:r>
      <w:r w:rsidR="00A86C9E" w:rsidRPr="008A0431">
        <w:t>assessment described where ASIC wanted its team members to be over the next 3 to 5 years. ASIC is still in the process of embedding the capability framework across the organisation</w:t>
      </w:r>
      <w:r w:rsidR="001A1CBE">
        <w:t xml:space="preserve">. </w:t>
      </w:r>
    </w:p>
  </w:footnote>
  <w:footnote w:id="109">
    <w:p w14:paraId="474B455E" w14:textId="09739E3E" w:rsidR="00A86C9E" w:rsidRDefault="00526D0C" w:rsidP="00A86C9E">
      <w:pPr>
        <w:pStyle w:val="FootnoteText"/>
      </w:pPr>
      <w:r w:rsidRPr="00526D0C">
        <w:rPr>
          <w:rStyle w:val="FootnoteReference"/>
          <w:vertAlign w:val="baseline"/>
        </w:rPr>
        <w:footnoteRef/>
      </w:r>
      <w:r w:rsidR="00A86C9E">
        <w:t xml:space="preserve"> </w:t>
      </w:r>
      <w:r w:rsidR="00422489">
        <w:tab/>
      </w:r>
      <w:r w:rsidR="00A86C9E">
        <w:t>S</w:t>
      </w:r>
      <w:r w:rsidR="00A86C9E" w:rsidRPr="00C41367">
        <w:t>ince July 2019,</w:t>
      </w:r>
      <w:r w:rsidR="00A86C9E">
        <w:t xml:space="preserve"> </w:t>
      </w:r>
      <w:r w:rsidR="00A86C9E" w:rsidRPr="00C41367">
        <w:t>1,982 positions have been internally or externally advertised across ASIC, with 1,078</w:t>
      </w:r>
      <w:r w:rsidR="00B02E9E">
        <w:t> </w:t>
      </w:r>
      <w:r w:rsidR="00A86C9E" w:rsidRPr="00C41367">
        <w:t>(54%) positions filled by external candidates</w:t>
      </w:r>
      <w:r w:rsidR="00A86C9E">
        <w:t>.</w:t>
      </w:r>
    </w:p>
  </w:footnote>
  <w:footnote w:id="110">
    <w:p w14:paraId="2DB0FE5E" w14:textId="1A94C238" w:rsidR="00A86C9E" w:rsidRPr="00F3366C" w:rsidRDefault="00526D0C" w:rsidP="00A86C9E">
      <w:pPr>
        <w:pStyle w:val="FootnoteText"/>
      </w:pPr>
      <w:r w:rsidRPr="00526D0C">
        <w:rPr>
          <w:rStyle w:val="FootnoteReference"/>
          <w:vertAlign w:val="baseline"/>
        </w:rPr>
        <w:footnoteRef/>
      </w:r>
      <w:r w:rsidR="00A86C9E">
        <w:t xml:space="preserve"> </w:t>
      </w:r>
      <w:r w:rsidR="00422489">
        <w:tab/>
      </w:r>
      <w:r w:rsidR="00A86C9E" w:rsidRPr="00F3366C">
        <w:t xml:space="preserve">The 3 pillars of the strategy are to support and enable ASIC to be more digitally enabled and regulate emerging areas; equip staff with the right mindset, tools and capabilities to ensure an engaged, thriving and diverse workforce; and uplift organisational leadership to embed a </w:t>
      </w:r>
      <w:r w:rsidR="00EF40B0">
        <w:t>‘</w:t>
      </w:r>
      <w:r w:rsidR="00A86C9E" w:rsidRPr="00F3366C">
        <w:t>whole</w:t>
      </w:r>
      <w:r w:rsidR="00EF40B0">
        <w:noBreakHyphen/>
      </w:r>
      <w:r w:rsidR="00A86C9E" w:rsidRPr="00F3366C">
        <w:t>of</w:t>
      </w:r>
      <w:r w:rsidR="00EF40B0">
        <w:noBreakHyphen/>
      </w:r>
      <w:r w:rsidR="00A86C9E" w:rsidRPr="00F3366C">
        <w:t>ASIC</w:t>
      </w:r>
      <w:r w:rsidR="00EF40B0">
        <w:t>’</w:t>
      </w:r>
      <w:r w:rsidR="00A86C9E" w:rsidRPr="00F3366C">
        <w:t xml:space="preserve"> culture that will support its organisational purpose into the future.</w:t>
      </w:r>
    </w:p>
  </w:footnote>
  <w:footnote w:id="111">
    <w:p w14:paraId="7A1B201B" w14:textId="5076672C" w:rsidR="00A86C9E" w:rsidRPr="00F3366C" w:rsidRDefault="00526D0C" w:rsidP="00A86C9E">
      <w:pPr>
        <w:pStyle w:val="FootnoteText"/>
      </w:pPr>
      <w:r w:rsidRPr="00526D0C">
        <w:rPr>
          <w:rStyle w:val="FootnoteReference"/>
          <w:vertAlign w:val="baseline"/>
        </w:rPr>
        <w:footnoteRef/>
      </w:r>
      <w:r w:rsidR="00A86C9E">
        <w:t xml:space="preserve"> </w:t>
      </w:r>
      <w:r w:rsidR="00422489">
        <w:tab/>
      </w:r>
      <w:r w:rsidR="00A86C9E" w:rsidRPr="00F3366C">
        <w:t xml:space="preserve">Since July 2019, 83% of positions in the </w:t>
      </w:r>
      <w:r w:rsidR="003450AE">
        <w:t>Chief Data and Analytics Office</w:t>
      </w:r>
      <w:r w:rsidR="00A86C9E" w:rsidRPr="00F3366C">
        <w:t xml:space="preserve"> team (20 of 24) have been filled by external candidates and 70% of positions in the IT team (152 of 216) positions have been filled by external candidates.</w:t>
      </w:r>
    </w:p>
  </w:footnote>
  <w:footnote w:id="112">
    <w:p w14:paraId="7DABA257" w14:textId="25ABC690" w:rsidR="00A86C9E" w:rsidRDefault="00526D0C" w:rsidP="00A86C9E">
      <w:pPr>
        <w:pStyle w:val="FootnoteText"/>
      </w:pPr>
      <w:r w:rsidRPr="00526D0C">
        <w:rPr>
          <w:rStyle w:val="FootnoteReference"/>
          <w:vertAlign w:val="baseline"/>
        </w:rPr>
        <w:footnoteRef/>
      </w:r>
      <w:r w:rsidR="00A86C9E" w:rsidRPr="00F3366C">
        <w:t xml:space="preserve"> </w:t>
      </w:r>
      <w:r w:rsidR="00422489">
        <w:tab/>
      </w:r>
      <w:r w:rsidR="00A86C9E" w:rsidRPr="00F3366C">
        <w:t>33% disagreed and the remainder neutral.</w:t>
      </w:r>
    </w:p>
  </w:footnote>
  <w:footnote w:id="113">
    <w:p w14:paraId="3C7FF198" w14:textId="111FC381" w:rsidR="00A86C9E" w:rsidRDefault="00526D0C" w:rsidP="00422489">
      <w:pPr>
        <w:pStyle w:val="FootnoteText"/>
      </w:pPr>
      <w:r w:rsidRPr="00526D0C">
        <w:rPr>
          <w:rStyle w:val="FootnoteReference"/>
          <w:vertAlign w:val="baseline"/>
        </w:rPr>
        <w:footnoteRef/>
      </w:r>
      <w:r w:rsidR="00A86C9E">
        <w:t xml:space="preserve"> </w:t>
      </w:r>
      <w:r w:rsidR="00D01BD7">
        <w:tab/>
      </w:r>
      <w:r w:rsidR="00301659" w:rsidRPr="001B2162">
        <w:t>SEC</w:t>
      </w:r>
      <w:r w:rsidR="009E1175" w:rsidRPr="001B2162">
        <w:t xml:space="preserve">, </w:t>
      </w:r>
      <w:hyperlink r:id="rId22" w:history="1">
        <w:r w:rsidR="009E1175" w:rsidRPr="001B2162">
          <w:rPr>
            <w:rStyle w:val="Hyperlink"/>
            <w:i/>
            <w:iCs/>
          </w:rPr>
          <w:t>Press Release</w:t>
        </w:r>
      </w:hyperlink>
      <w:r w:rsidR="009E1175" w:rsidRPr="001B2162">
        <w:t xml:space="preserve">, SEC </w:t>
      </w:r>
      <w:r w:rsidR="009E1175">
        <w:t>website, 2020, accessed 19 May 2022.</w:t>
      </w:r>
    </w:p>
  </w:footnote>
  <w:footnote w:id="114">
    <w:p w14:paraId="13643627" w14:textId="3B8891F7" w:rsidR="00A86C9E" w:rsidRDefault="00526D0C" w:rsidP="00A86C9E">
      <w:pPr>
        <w:pStyle w:val="FootnoteText"/>
      </w:pPr>
      <w:r w:rsidRPr="00526D0C">
        <w:rPr>
          <w:rStyle w:val="FootnoteReference"/>
          <w:vertAlign w:val="baseline"/>
        </w:rPr>
        <w:footnoteRef/>
      </w:r>
      <w:r w:rsidR="00A86C9E">
        <w:t xml:space="preserve"> </w:t>
      </w:r>
      <w:r w:rsidR="00422489">
        <w:tab/>
      </w:r>
      <w:r w:rsidR="00A86C9E">
        <w:t>Business Council of Australia</w:t>
      </w:r>
      <w:r w:rsidR="001430B8">
        <w:t>. C</w:t>
      </w:r>
      <w:r w:rsidR="00A86C9E">
        <w:t>ommissioner and executive director interviews.</w:t>
      </w:r>
    </w:p>
  </w:footnote>
  <w:footnote w:id="115">
    <w:p w14:paraId="067E3928" w14:textId="24A324BB" w:rsidR="00A86C9E" w:rsidRDefault="00526D0C" w:rsidP="00A86C9E">
      <w:pPr>
        <w:pStyle w:val="FootnoteText"/>
      </w:pPr>
      <w:r w:rsidRPr="00526D0C">
        <w:rPr>
          <w:rStyle w:val="FootnoteReference"/>
          <w:vertAlign w:val="baseline"/>
        </w:rPr>
        <w:footnoteRef/>
      </w:r>
      <w:r w:rsidR="00A86C9E">
        <w:t xml:space="preserve"> </w:t>
      </w:r>
      <w:r w:rsidR="00422489">
        <w:tab/>
      </w:r>
      <w:r w:rsidR="00A86C9E">
        <w:t xml:space="preserve">58% agreed, </w:t>
      </w:r>
      <w:r w:rsidR="00A86C9E" w:rsidRPr="000F3531">
        <w:t>22% disagreed and the remainder neutral</w:t>
      </w:r>
      <w:r w:rsidR="00A86C9E">
        <w:t>.</w:t>
      </w:r>
    </w:p>
  </w:footnote>
  <w:footnote w:id="116">
    <w:p w14:paraId="336375D8" w14:textId="78139D6A" w:rsidR="00A86C9E" w:rsidRDefault="00526D0C" w:rsidP="00A86C9E">
      <w:pPr>
        <w:pStyle w:val="FootnoteText"/>
      </w:pPr>
      <w:r w:rsidRPr="00526D0C">
        <w:rPr>
          <w:rStyle w:val="FootnoteReference"/>
          <w:vertAlign w:val="baseline"/>
        </w:rPr>
        <w:footnoteRef/>
      </w:r>
      <w:r w:rsidR="00A86C9E">
        <w:t xml:space="preserve"> </w:t>
      </w:r>
      <w:r w:rsidR="00422489">
        <w:tab/>
      </w:r>
      <w:r w:rsidR="00A86C9E" w:rsidRPr="00D55481">
        <w:t>57% disagreed and the remainder neutral</w:t>
      </w:r>
      <w:r w:rsidR="00A86C9E">
        <w:t>.</w:t>
      </w:r>
    </w:p>
  </w:footnote>
  <w:footnote w:id="117">
    <w:p w14:paraId="634CED4A" w14:textId="2B7B6207" w:rsidR="00235B74" w:rsidRDefault="00526D0C">
      <w:pPr>
        <w:pStyle w:val="FootnoteText"/>
      </w:pPr>
      <w:r w:rsidRPr="00526D0C">
        <w:rPr>
          <w:rStyle w:val="FootnoteReference"/>
          <w:vertAlign w:val="baseline"/>
        </w:rPr>
        <w:footnoteRef/>
      </w:r>
      <w:r w:rsidR="00235B74">
        <w:t xml:space="preserve"> </w:t>
      </w:r>
      <w:r w:rsidR="00075DC6">
        <w:tab/>
      </w:r>
      <w:r w:rsidR="005455CB" w:rsidRPr="00D43E56">
        <w:t>In response to user feedback, ASIC has launched a CRM uplift program, focused on improving user experience. Twenty</w:t>
      </w:r>
      <w:r w:rsidR="00EF40B0">
        <w:noBreakHyphen/>
      </w:r>
      <w:r w:rsidR="005455CB" w:rsidRPr="00D43E56">
        <w:t>three enhancements have been identified, with delivery to commence in December</w:t>
      </w:r>
      <w:r w:rsidR="00B02E9E">
        <w:t> </w:t>
      </w:r>
      <w:r w:rsidR="005455CB" w:rsidRPr="00D43E56">
        <w:t>2022.</w:t>
      </w:r>
    </w:p>
  </w:footnote>
  <w:footnote w:id="118">
    <w:p w14:paraId="09ACAFCC" w14:textId="7265DA40" w:rsidR="00A86C9E" w:rsidRDefault="00526D0C" w:rsidP="00A86C9E">
      <w:pPr>
        <w:pStyle w:val="FootnoteText"/>
      </w:pPr>
      <w:r w:rsidRPr="00526D0C">
        <w:rPr>
          <w:rStyle w:val="FootnoteReference"/>
          <w:vertAlign w:val="baseline"/>
        </w:rPr>
        <w:footnoteRef/>
      </w:r>
      <w:r w:rsidR="00A86C9E">
        <w:t xml:space="preserve"> </w:t>
      </w:r>
      <w:r w:rsidR="00422489">
        <w:tab/>
      </w:r>
      <w:r w:rsidR="00A86C9E">
        <w:t>Commissioner and executive director interviews.</w:t>
      </w:r>
    </w:p>
  </w:footnote>
  <w:footnote w:id="119">
    <w:p w14:paraId="40E0CDCC" w14:textId="06484014" w:rsidR="00A86C9E" w:rsidRDefault="00526D0C" w:rsidP="00A86C9E">
      <w:pPr>
        <w:pStyle w:val="FootnoteText"/>
      </w:pPr>
      <w:r w:rsidRPr="00526D0C">
        <w:rPr>
          <w:rStyle w:val="FootnoteReference"/>
          <w:vertAlign w:val="baseline"/>
        </w:rPr>
        <w:footnoteRef/>
      </w:r>
      <w:r w:rsidR="00A86C9E">
        <w:t xml:space="preserve"> </w:t>
      </w:r>
      <w:r w:rsidR="00422489">
        <w:tab/>
      </w:r>
      <w:r w:rsidR="00232ABA" w:rsidRPr="00B362CF">
        <w:t>A</w:t>
      </w:r>
      <w:r w:rsidR="005B2CA2" w:rsidRPr="00B362CF">
        <w:t xml:space="preserve">s at </w:t>
      </w:r>
      <w:r w:rsidR="00186BEC">
        <w:t>April</w:t>
      </w:r>
      <w:r w:rsidR="00B362CF" w:rsidRPr="001B2162">
        <w:t xml:space="preserve"> 2022</w:t>
      </w:r>
      <w:r w:rsidR="00A86C9E">
        <w:t xml:space="preserve"> the data teams comprising the </w:t>
      </w:r>
      <w:r w:rsidR="00EF40B0">
        <w:t>‘</w:t>
      </w:r>
      <w:r w:rsidR="00A86C9E">
        <w:t>spokes</w:t>
      </w:r>
      <w:r w:rsidR="00EF40B0">
        <w:t>’</w:t>
      </w:r>
      <w:r w:rsidR="00A86C9E">
        <w:t xml:space="preserve"> are spread across Markets (12 FTE), Financial Services and Wealth (16 FTE) and Enforcement (12 FTE) Groups, compared to total headcount in these teams: Markets (</w:t>
      </w:r>
      <w:r w:rsidR="00124778">
        <w:t xml:space="preserve">224 </w:t>
      </w:r>
      <w:r w:rsidR="00A86C9E">
        <w:t>FTE), Financial Services and Wealth (25</w:t>
      </w:r>
      <w:r w:rsidR="00124778">
        <w:t>9</w:t>
      </w:r>
      <w:r w:rsidR="00A86C9E">
        <w:t xml:space="preserve"> FTE) and Enforcement (339 FTE across Markets</w:t>
      </w:r>
      <w:r w:rsidR="00C57F5C">
        <w:t xml:space="preserve"> Enforcement</w:t>
      </w:r>
      <w:r w:rsidR="00D923D0">
        <w:t>,</w:t>
      </w:r>
      <w:r w:rsidR="00A86C9E">
        <w:t xml:space="preserve"> and Financial Services and Wealth Enforcement).</w:t>
      </w:r>
    </w:p>
  </w:footnote>
  <w:footnote w:id="120">
    <w:p w14:paraId="0B43D6CA" w14:textId="048586E4" w:rsidR="00A86C9E" w:rsidRDefault="00526D0C" w:rsidP="00A86C9E">
      <w:pPr>
        <w:pStyle w:val="FootnoteText"/>
      </w:pPr>
      <w:r w:rsidRPr="00526D0C">
        <w:rPr>
          <w:rStyle w:val="FootnoteReference"/>
          <w:vertAlign w:val="baseline"/>
        </w:rPr>
        <w:footnoteRef/>
      </w:r>
      <w:r w:rsidR="00A86C9E">
        <w:t xml:space="preserve"> </w:t>
      </w:r>
      <w:r w:rsidR="00422489">
        <w:tab/>
      </w:r>
      <w:r w:rsidR="00A86C9E">
        <w:t xml:space="preserve">ASIC, </w:t>
      </w:r>
      <w:r w:rsidR="00A86C9E" w:rsidRPr="00D93304">
        <w:t xml:space="preserve">Material supplied to </w:t>
      </w:r>
      <w:r w:rsidR="00DD7611" w:rsidRPr="00D93304">
        <w:t>this</w:t>
      </w:r>
      <w:r w:rsidR="00A86C9E" w:rsidRPr="00D93304">
        <w:t xml:space="preserve"> </w:t>
      </w:r>
      <w:r w:rsidR="009F088B" w:rsidRPr="00D93304">
        <w:t>r</w:t>
      </w:r>
      <w:r w:rsidR="00A86C9E" w:rsidRPr="00D93304">
        <w:t>eview</w:t>
      </w:r>
      <w:r w:rsidR="00DD7611" w:rsidRPr="00D93304">
        <w:t>,</w:t>
      </w:r>
      <w:r w:rsidR="00DD7611" w:rsidRPr="00F83178">
        <w:t xml:space="preserve"> 2022</w:t>
      </w:r>
      <w:r w:rsidR="000C186E">
        <w:t>.</w:t>
      </w:r>
      <w:r w:rsidR="00A86C9E">
        <w:rPr>
          <w:i/>
          <w:iCs/>
        </w:rPr>
        <w:t xml:space="preserve"> </w:t>
      </w:r>
      <w:r w:rsidR="00A86C9E" w:rsidRPr="009666BE">
        <w:t>Australian Institute of Company Directors</w:t>
      </w:r>
      <w:r w:rsidR="00DD7611">
        <w:t>,</w:t>
      </w:r>
      <w:r w:rsidR="00A86C9E" w:rsidRPr="009666BE" w:rsidDel="009666BE">
        <w:t xml:space="preserve"> </w:t>
      </w:r>
      <w:r w:rsidR="00A86C9E">
        <w:t xml:space="preserve">CPA Australia, </w:t>
      </w:r>
      <w:r w:rsidR="00A86C9E" w:rsidRPr="007B3999">
        <w:t>Consumer Action Law Centre</w:t>
      </w:r>
      <w:r w:rsidR="00DD7611">
        <w:t>,</w:t>
      </w:r>
      <w:r w:rsidR="00A86C9E">
        <w:t xml:space="preserve"> </w:t>
      </w:r>
      <w:r w:rsidR="00A86C9E" w:rsidRPr="00A126B8">
        <w:t>Chartered Accountants Australia and New Zealand</w:t>
      </w:r>
      <w:r w:rsidR="00A86C9E">
        <w:t>.</w:t>
      </w:r>
    </w:p>
  </w:footnote>
  <w:footnote w:id="121">
    <w:p w14:paraId="4493C864" w14:textId="6ED3EF0F" w:rsidR="00A86C9E" w:rsidRDefault="00526D0C" w:rsidP="002C2265">
      <w:pPr>
        <w:pStyle w:val="FootnoteText"/>
        <w:ind w:left="0" w:firstLine="0"/>
      </w:pPr>
      <w:r w:rsidRPr="00526D0C">
        <w:rPr>
          <w:rStyle w:val="FootnoteReference"/>
          <w:vertAlign w:val="baseline"/>
        </w:rPr>
        <w:footnoteRef/>
      </w:r>
      <w:r w:rsidR="00A86C9E">
        <w:t xml:space="preserve"> </w:t>
      </w:r>
      <w:r w:rsidR="00AF1331">
        <w:tab/>
      </w:r>
      <w:r w:rsidR="00B90282">
        <w:t xml:space="preserve">ASIC, </w:t>
      </w:r>
      <w:r w:rsidR="00B90282" w:rsidRPr="00D93304">
        <w:t xml:space="preserve">Material supplied to this </w:t>
      </w:r>
      <w:r w:rsidR="00416E8B">
        <w:t>r</w:t>
      </w:r>
      <w:r w:rsidR="00B90282" w:rsidRPr="00140678">
        <w:t>eview,</w:t>
      </w:r>
      <w:r w:rsidR="00B90282">
        <w:rPr>
          <w:i/>
          <w:iCs/>
        </w:rPr>
        <w:t xml:space="preserve"> </w:t>
      </w:r>
      <w:r w:rsidR="00B90282" w:rsidRPr="00593FA9">
        <w:t>2022.</w:t>
      </w:r>
    </w:p>
  </w:footnote>
  <w:footnote w:id="122">
    <w:p w14:paraId="747B8954" w14:textId="50932036" w:rsidR="00A86C9E" w:rsidRDefault="00526D0C" w:rsidP="00A86C9E">
      <w:pPr>
        <w:pStyle w:val="FootnoteText"/>
      </w:pPr>
      <w:r w:rsidRPr="00526D0C">
        <w:rPr>
          <w:rStyle w:val="FootnoteReference"/>
          <w:vertAlign w:val="baseline"/>
        </w:rPr>
        <w:footnoteRef/>
      </w:r>
      <w:r w:rsidR="00A86C9E">
        <w:t xml:space="preserve"> </w:t>
      </w:r>
      <w:r w:rsidR="00422489">
        <w:tab/>
      </w:r>
      <w:r w:rsidR="00A86C9E" w:rsidRPr="00A126B8">
        <w:t>Australian Institute of Company Directors</w:t>
      </w:r>
      <w:r w:rsidR="000C186E">
        <w:t>,</w:t>
      </w:r>
      <w:r w:rsidR="00A86C9E" w:rsidRPr="00A126B8">
        <w:t xml:space="preserve"> CPA Australia</w:t>
      </w:r>
      <w:r w:rsidR="00A86C9E">
        <w:t>.</w:t>
      </w:r>
    </w:p>
  </w:footnote>
  <w:footnote w:id="123">
    <w:p w14:paraId="42505606" w14:textId="3C341C37" w:rsidR="00A86C9E" w:rsidRDefault="00526D0C" w:rsidP="00A86C9E">
      <w:pPr>
        <w:pStyle w:val="FootnoteText"/>
      </w:pPr>
      <w:r w:rsidRPr="00526D0C">
        <w:rPr>
          <w:rStyle w:val="FootnoteReference"/>
          <w:vertAlign w:val="baseline"/>
        </w:rPr>
        <w:footnoteRef/>
      </w:r>
      <w:r w:rsidR="00A86C9E">
        <w:t xml:space="preserve"> </w:t>
      </w:r>
      <w:r w:rsidR="00422489">
        <w:tab/>
      </w:r>
      <w:r w:rsidR="003D142D">
        <w:t xml:space="preserve">ASIC, </w:t>
      </w:r>
      <w:r w:rsidR="003D142D" w:rsidRPr="00FC7FE6">
        <w:t xml:space="preserve">Material supplied to this </w:t>
      </w:r>
      <w:r w:rsidR="00416E8B">
        <w:t>r</w:t>
      </w:r>
      <w:r w:rsidR="003D142D" w:rsidRPr="00FC7FE6">
        <w:t>eview,</w:t>
      </w:r>
      <w:r w:rsidR="003D142D">
        <w:rPr>
          <w:i/>
          <w:iCs/>
        </w:rPr>
        <w:t xml:space="preserve"> </w:t>
      </w:r>
      <w:r w:rsidR="003D142D" w:rsidRPr="00593FA9">
        <w:t>2022</w:t>
      </w:r>
      <w:r w:rsidR="003D142D">
        <w:rPr>
          <w:i/>
          <w:iCs/>
        </w:rPr>
        <w:t>.</w:t>
      </w:r>
    </w:p>
  </w:footnote>
  <w:footnote w:id="124">
    <w:p w14:paraId="248E24C0" w14:textId="0521EFBD"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ASIC, </w:t>
      </w:r>
      <w:r w:rsidR="00A02457" w:rsidRPr="00140678">
        <w:t>Material supplied to th</w:t>
      </w:r>
      <w:r w:rsidR="00750FE8" w:rsidRPr="00140678">
        <w:t>is</w:t>
      </w:r>
      <w:r w:rsidR="00A02457" w:rsidRPr="00140678">
        <w:t xml:space="preserve"> </w:t>
      </w:r>
      <w:r w:rsidR="00AE2FC5">
        <w:t>r</w:t>
      </w:r>
      <w:r w:rsidR="00A02457" w:rsidRPr="00403DCA">
        <w:t>eview</w:t>
      </w:r>
      <w:r w:rsidR="00750FE8" w:rsidRPr="00403DCA">
        <w:t>,</w:t>
      </w:r>
      <w:r w:rsidR="00750FE8">
        <w:rPr>
          <w:i/>
          <w:iCs/>
        </w:rPr>
        <w:t xml:space="preserve"> </w:t>
      </w:r>
      <w:r w:rsidR="00750FE8">
        <w:t>2022</w:t>
      </w:r>
      <w:r w:rsidR="00A02457">
        <w:rPr>
          <w:i/>
          <w:iCs/>
        </w:rPr>
        <w:t xml:space="preserve">. </w:t>
      </w:r>
    </w:p>
  </w:footnote>
  <w:footnote w:id="125">
    <w:p w14:paraId="7C24B1F0" w14:textId="19EB7454"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ASIC, </w:t>
      </w:r>
      <w:r w:rsidR="00A02457" w:rsidRPr="00403DCA">
        <w:t xml:space="preserve">Material supplied to </w:t>
      </w:r>
      <w:r w:rsidR="00E05C6F">
        <w:t>this</w:t>
      </w:r>
      <w:r w:rsidR="00A02457" w:rsidRPr="00403DCA">
        <w:t xml:space="preserve"> </w:t>
      </w:r>
      <w:r w:rsidR="00AE2FC5">
        <w:t>r</w:t>
      </w:r>
      <w:r w:rsidR="00A02457" w:rsidRPr="00403DCA">
        <w:t>eview</w:t>
      </w:r>
      <w:r w:rsidR="00E72F5F" w:rsidRPr="00052BB5">
        <w:t>,</w:t>
      </w:r>
      <w:r w:rsidR="00E72F5F">
        <w:t xml:space="preserve"> 2022</w:t>
      </w:r>
      <w:r w:rsidR="006E6449">
        <w:t>.</w:t>
      </w:r>
      <w:r w:rsidR="00A02457">
        <w:t xml:space="preserve"> 31 FTE. This excludes licensing work conducted by the market infrastructure team as applications are infrequent and do not make up a large portion of the market infrastructure team</w:t>
      </w:r>
      <w:r w:rsidR="00EF40B0">
        <w:t>’</w:t>
      </w:r>
      <w:r w:rsidR="00A02457">
        <w:t xml:space="preserve">s day to day business. For completeness, there are 2 FTE staff for market infrastructure licensing activities. </w:t>
      </w:r>
    </w:p>
  </w:footnote>
  <w:footnote w:id="126">
    <w:p w14:paraId="26CB3C60" w14:textId="15210BA3" w:rsidR="00181DCA" w:rsidRDefault="00526D0C" w:rsidP="00181DCA">
      <w:pPr>
        <w:pStyle w:val="FootnoteText"/>
      </w:pPr>
      <w:r w:rsidRPr="00526D0C">
        <w:rPr>
          <w:rStyle w:val="FootnoteReference"/>
          <w:vertAlign w:val="baseline"/>
        </w:rPr>
        <w:footnoteRef/>
      </w:r>
      <w:r w:rsidR="00A02457">
        <w:t xml:space="preserve"> </w:t>
      </w:r>
      <w:r w:rsidR="00422489">
        <w:tab/>
      </w:r>
      <w:r w:rsidR="00A02457">
        <w:t>ASIC</w:t>
      </w:r>
      <w:r w:rsidR="00EF40B0">
        <w:t>’</w:t>
      </w:r>
      <w:r w:rsidR="00A02457">
        <w:t>s licensing function also provides administrative support to the Liquidator Assessments Committee and manages the Register of Liquidators (which will be transferred to the ATO in the future under the</w:t>
      </w:r>
      <w:r w:rsidR="000730FF">
        <w:t xml:space="preserve"> </w:t>
      </w:r>
      <w:r w:rsidR="00A02457" w:rsidDel="000730FF">
        <w:t xml:space="preserve">Modernising Business Registers </w:t>
      </w:r>
      <w:r w:rsidR="00CE03C2">
        <w:t>(MBR)</w:t>
      </w:r>
      <w:r w:rsidR="00A02457">
        <w:t xml:space="preserve"> program). </w:t>
      </w:r>
    </w:p>
  </w:footnote>
  <w:footnote w:id="127">
    <w:p w14:paraId="7969CB42" w14:textId="71FF518D" w:rsidR="000649E8" w:rsidRDefault="00526D0C">
      <w:pPr>
        <w:pStyle w:val="FootnoteText"/>
      </w:pPr>
      <w:r w:rsidRPr="00526D0C">
        <w:rPr>
          <w:rStyle w:val="FootnoteReference"/>
          <w:vertAlign w:val="baseline"/>
        </w:rPr>
        <w:footnoteRef/>
      </w:r>
      <w:r w:rsidR="000649E8">
        <w:t xml:space="preserve"> </w:t>
      </w:r>
      <w:r w:rsidR="0000166B">
        <w:tab/>
      </w:r>
      <w:r w:rsidR="000649E8">
        <w:t xml:space="preserve">For example, the </w:t>
      </w:r>
      <w:r w:rsidR="00A86EFE">
        <w:t>FCA</w:t>
      </w:r>
      <w:r w:rsidR="000B0FB9">
        <w:t>.</w:t>
      </w:r>
    </w:p>
  </w:footnote>
  <w:footnote w:id="128">
    <w:p w14:paraId="5DD7EFD6" w14:textId="42CCA065"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ASIC, </w:t>
      </w:r>
      <w:r w:rsidR="00A02457" w:rsidRPr="000A5F11">
        <w:t>Material supplied to th</w:t>
      </w:r>
      <w:r w:rsidR="00FB2E1F" w:rsidRPr="000A5F11">
        <w:t>is</w:t>
      </w:r>
      <w:r w:rsidR="00A02457" w:rsidRPr="000A5F11">
        <w:t xml:space="preserve"> </w:t>
      </w:r>
      <w:r w:rsidR="00183F31" w:rsidRPr="000A5F11">
        <w:t>r</w:t>
      </w:r>
      <w:r w:rsidR="00A02457" w:rsidRPr="000A5F11">
        <w:t>eview</w:t>
      </w:r>
      <w:r w:rsidR="00FB2E1F" w:rsidRPr="000A5F11">
        <w:t>,</w:t>
      </w:r>
      <w:r w:rsidR="00FB2E1F">
        <w:rPr>
          <w:i/>
          <w:iCs/>
        </w:rPr>
        <w:t xml:space="preserve"> </w:t>
      </w:r>
      <w:r w:rsidR="00FB2E1F">
        <w:t>2022</w:t>
      </w:r>
      <w:r w:rsidR="00183F31">
        <w:t>.</w:t>
      </w:r>
    </w:p>
  </w:footnote>
  <w:footnote w:id="129">
    <w:p w14:paraId="4018D117" w14:textId="4CED8625"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For the list of consumer advocacy bodies the FRAA consulted with, see </w:t>
      </w:r>
      <w:r w:rsidR="00B0093A">
        <w:t>A</w:t>
      </w:r>
      <w:r w:rsidR="00A02457">
        <w:t>ppendix A</w:t>
      </w:r>
      <w:r w:rsidR="001A1CBE">
        <w:t xml:space="preserve">. </w:t>
      </w:r>
    </w:p>
  </w:footnote>
  <w:footnote w:id="130">
    <w:p w14:paraId="131A2BDC" w14:textId="311DE353"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ASIC, </w:t>
      </w:r>
      <w:r w:rsidR="00A02457" w:rsidRPr="000A5F11">
        <w:t>Material supplied to th</w:t>
      </w:r>
      <w:r w:rsidR="008A2061" w:rsidRPr="000A5F11">
        <w:t>is</w:t>
      </w:r>
      <w:r w:rsidR="00A02457" w:rsidRPr="000A5F11">
        <w:t xml:space="preserve"> </w:t>
      </w:r>
      <w:r w:rsidR="006520C1" w:rsidRPr="000A5F11">
        <w:t>r</w:t>
      </w:r>
      <w:r w:rsidR="00A02457" w:rsidRPr="000A5F11">
        <w:t>eview</w:t>
      </w:r>
      <w:r w:rsidR="008A2061">
        <w:rPr>
          <w:i/>
          <w:iCs/>
        </w:rPr>
        <w:t xml:space="preserve">, </w:t>
      </w:r>
      <w:r w:rsidR="008A2061">
        <w:t>2022</w:t>
      </w:r>
      <w:r w:rsidR="00A02457">
        <w:rPr>
          <w:i/>
          <w:iCs/>
        </w:rPr>
        <w:t xml:space="preserve">. </w:t>
      </w:r>
    </w:p>
  </w:footnote>
  <w:footnote w:id="131">
    <w:p w14:paraId="6E115BDA" w14:textId="21DDA6F6" w:rsidR="00A02457" w:rsidRDefault="00526D0C" w:rsidP="00A02457">
      <w:pPr>
        <w:pStyle w:val="FootnoteText"/>
      </w:pPr>
      <w:r w:rsidRPr="00526D0C">
        <w:rPr>
          <w:rStyle w:val="FootnoteReference"/>
          <w:vertAlign w:val="baseline"/>
        </w:rPr>
        <w:footnoteRef/>
      </w:r>
      <w:r w:rsidR="00A02457">
        <w:t xml:space="preserve"> </w:t>
      </w:r>
      <w:r w:rsidR="00422489">
        <w:tab/>
      </w:r>
      <w:r w:rsidR="00A02457">
        <w:t>Confidential interview</w:t>
      </w:r>
      <w:r w:rsidR="009D42A1">
        <w:t>.</w:t>
      </w:r>
      <w:r w:rsidR="00A02457">
        <w:t xml:space="preserve"> </w:t>
      </w:r>
      <w:r w:rsidR="009D42A1">
        <w:t>S</w:t>
      </w:r>
      <w:r w:rsidR="00A02457">
        <w:t>takeholder survey free</w:t>
      </w:r>
      <w:r w:rsidR="00EF40B0">
        <w:noBreakHyphen/>
      </w:r>
      <w:r w:rsidR="00A02457">
        <w:t xml:space="preserve">text comments. </w:t>
      </w:r>
    </w:p>
  </w:footnote>
  <w:footnote w:id="132">
    <w:p w14:paraId="2AFDBE98" w14:textId="038FBC3F"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29% disagreed and the remainder neutral. The stakeholder survey evidenced in this </w:t>
      </w:r>
      <w:r w:rsidR="00C417B3">
        <w:t>r</w:t>
      </w:r>
      <w:r w:rsidR="00A02457">
        <w:t>eview represents a sample of ASIC</w:t>
      </w:r>
      <w:r w:rsidR="00EF40B0">
        <w:t>’</w:t>
      </w:r>
      <w:r w:rsidR="00A02457">
        <w:t xml:space="preserve">s regulated population, and may not be indicative of all organisations and market sectors regulated by ASIC. For more </w:t>
      </w:r>
      <w:r w:rsidR="00A02457" w:rsidRPr="00AD74FC">
        <w:t xml:space="preserve">details see </w:t>
      </w:r>
      <w:r w:rsidR="001D2BFE">
        <w:t>A</w:t>
      </w:r>
      <w:r w:rsidR="00A02457" w:rsidRPr="00D45FE2">
        <w:t xml:space="preserve">ppendix </w:t>
      </w:r>
      <w:r w:rsidR="00A02457">
        <w:t xml:space="preserve">A. </w:t>
      </w:r>
    </w:p>
  </w:footnote>
  <w:footnote w:id="133">
    <w:p w14:paraId="6385A58F" w14:textId="4034D56F"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Confidential interviews. </w:t>
      </w:r>
    </w:p>
  </w:footnote>
  <w:footnote w:id="134">
    <w:p w14:paraId="192D3EB6" w14:textId="055574F7" w:rsidR="00A02457" w:rsidRDefault="00526D0C" w:rsidP="00A02457">
      <w:pPr>
        <w:pStyle w:val="FootnoteText"/>
      </w:pPr>
      <w:r w:rsidRPr="00526D0C">
        <w:rPr>
          <w:rStyle w:val="FootnoteReference"/>
          <w:vertAlign w:val="baseline"/>
        </w:rPr>
        <w:footnoteRef/>
      </w:r>
      <w:r w:rsidR="00A02457">
        <w:t xml:space="preserve"> </w:t>
      </w:r>
      <w:r w:rsidR="00422489">
        <w:tab/>
      </w:r>
      <w:r w:rsidR="00A02457">
        <w:t>Stakeholder survey free</w:t>
      </w:r>
      <w:r w:rsidR="00EF40B0">
        <w:noBreakHyphen/>
      </w:r>
      <w:r w:rsidR="00A02457">
        <w:t xml:space="preserve">text comment. </w:t>
      </w:r>
    </w:p>
  </w:footnote>
  <w:footnote w:id="135">
    <w:p w14:paraId="77CB84D6" w14:textId="2DDB500F" w:rsidR="00A02457" w:rsidRPr="004B4095" w:rsidRDefault="00526D0C" w:rsidP="00A02457">
      <w:pPr>
        <w:pStyle w:val="FootnoteText"/>
      </w:pPr>
      <w:r w:rsidRPr="00526D0C">
        <w:rPr>
          <w:rStyle w:val="FootnoteReference"/>
          <w:vertAlign w:val="baseline"/>
        </w:rPr>
        <w:footnoteRef/>
      </w:r>
      <w:r w:rsidR="00A02457" w:rsidRPr="004B4095">
        <w:t xml:space="preserve"> </w:t>
      </w:r>
      <w:r w:rsidR="00422489">
        <w:tab/>
      </w:r>
      <w:r w:rsidR="00A02457">
        <w:t>Confidential interviews</w:t>
      </w:r>
      <w:r w:rsidR="00A02457" w:rsidRPr="004B4095">
        <w:t>, confidential submission</w:t>
      </w:r>
      <w:r w:rsidR="00A02457">
        <w:t xml:space="preserve">s. </w:t>
      </w:r>
      <w:r w:rsidR="00A02457" w:rsidRPr="00B34CA6">
        <w:t>For licensee</w:t>
      </w:r>
      <w:r w:rsidR="00A02457">
        <w:t>s</w:t>
      </w:r>
      <w:r w:rsidR="00A02457" w:rsidRPr="00B34CA6">
        <w:t>, the portal is used to update information about the licence (such as the responsible managers, contact details or lodging annual accounts and reports)</w:t>
      </w:r>
      <w:r w:rsidR="00A02457">
        <w:t>.</w:t>
      </w:r>
    </w:p>
  </w:footnote>
  <w:footnote w:id="136">
    <w:p w14:paraId="55B3F2D6" w14:textId="0B8EB47F" w:rsidR="00A02457" w:rsidRDefault="00526D0C" w:rsidP="00A02457">
      <w:pPr>
        <w:pStyle w:val="FootnoteText"/>
      </w:pPr>
      <w:r w:rsidRPr="00526D0C">
        <w:rPr>
          <w:rStyle w:val="FootnoteReference"/>
          <w:vertAlign w:val="baseline"/>
        </w:rPr>
        <w:footnoteRef/>
      </w:r>
      <w:r w:rsidR="00A02457" w:rsidRPr="004B4095">
        <w:t xml:space="preserve"> </w:t>
      </w:r>
      <w:r w:rsidR="00422489">
        <w:tab/>
      </w:r>
      <w:r w:rsidR="00A02457">
        <w:t xml:space="preserve">Confidential interviews. </w:t>
      </w:r>
    </w:p>
  </w:footnote>
  <w:footnote w:id="137">
    <w:p w14:paraId="7377E790" w14:textId="2CD5E3FE"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Confidential interviews. </w:t>
      </w:r>
    </w:p>
  </w:footnote>
  <w:footnote w:id="138">
    <w:p w14:paraId="59FB67C3" w14:textId="0987F333"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Staff survey: </w:t>
      </w:r>
      <w:r w:rsidR="00A02457" w:rsidRPr="00707CE7">
        <w:rPr>
          <w:i/>
          <w:iCs/>
        </w:rPr>
        <w:t>Software and digital tools for licensing activities are mainly perceived by staff</w:t>
      </w:r>
      <w:r w:rsidR="008A2CBD">
        <w:rPr>
          <w:i/>
          <w:iCs/>
        </w:rPr>
        <w:t>,</w:t>
      </w:r>
      <w:r w:rsidR="00A02457">
        <w:t xml:space="preserve"> 39% ad hoc, 43% basic, 18% systematic. </w:t>
      </w:r>
    </w:p>
  </w:footnote>
  <w:footnote w:id="139">
    <w:p w14:paraId="1CC885C6" w14:textId="20CB55B3"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ASIC, </w:t>
      </w:r>
      <w:r w:rsidR="00A02457" w:rsidRPr="00140678">
        <w:t>Material supplied to th</w:t>
      </w:r>
      <w:r w:rsidR="00A7236F" w:rsidRPr="00140678">
        <w:t>is</w:t>
      </w:r>
      <w:r w:rsidR="00A02457" w:rsidRPr="00140678">
        <w:t xml:space="preserve"> </w:t>
      </w:r>
      <w:r w:rsidR="008A2CBD" w:rsidRPr="00140678">
        <w:t>r</w:t>
      </w:r>
      <w:r w:rsidR="00A02457" w:rsidRPr="00140678">
        <w:t>eview</w:t>
      </w:r>
      <w:r w:rsidR="00A7236F" w:rsidRPr="00140678">
        <w:t>,</w:t>
      </w:r>
      <w:r w:rsidR="00A7236F">
        <w:rPr>
          <w:i/>
          <w:iCs/>
        </w:rPr>
        <w:t xml:space="preserve"> </w:t>
      </w:r>
      <w:r w:rsidR="00A7236F">
        <w:t>2022</w:t>
      </w:r>
      <w:r w:rsidR="00A02457">
        <w:rPr>
          <w:i/>
          <w:iCs/>
        </w:rPr>
        <w:t xml:space="preserve">. </w:t>
      </w:r>
    </w:p>
  </w:footnote>
  <w:footnote w:id="140">
    <w:p w14:paraId="53C0BFEA" w14:textId="55978A1A"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ASIC, </w:t>
      </w:r>
      <w:r w:rsidR="00A02457" w:rsidRPr="00140678">
        <w:t>Material supplied to th</w:t>
      </w:r>
      <w:r w:rsidR="00A7236F" w:rsidRPr="00140678">
        <w:t>is</w:t>
      </w:r>
      <w:r w:rsidR="00A02457" w:rsidRPr="00140678">
        <w:t xml:space="preserve"> </w:t>
      </w:r>
      <w:r w:rsidR="008A2CBD" w:rsidRPr="00140678">
        <w:t>r</w:t>
      </w:r>
      <w:r w:rsidR="00A02457" w:rsidRPr="00140678">
        <w:t>eview</w:t>
      </w:r>
      <w:r w:rsidR="00A02457">
        <w:t xml:space="preserve">, </w:t>
      </w:r>
      <w:r w:rsidR="00A7236F">
        <w:t>2022</w:t>
      </w:r>
      <w:r w:rsidR="00866138">
        <w:t>.</w:t>
      </w:r>
      <w:r w:rsidR="00A02457">
        <w:t xml:space="preserve"> Consumer Action Law Centre. </w:t>
      </w:r>
    </w:p>
  </w:footnote>
  <w:footnote w:id="141">
    <w:p w14:paraId="248F5CAF" w14:textId="49D8D789"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ASIC, </w:t>
      </w:r>
      <w:r w:rsidR="00A02457" w:rsidRPr="00140678">
        <w:t>Material supplied to th</w:t>
      </w:r>
      <w:r w:rsidR="00A7236F" w:rsidRPr="00140678">
        <w:t>is</w:t>
      </w:r>
      <w:r w:rsidR="00A02457" w:rsidRPr="00140678">
        <w:t xml:space="preserve"> </w:t>
      </w:r>
      <w:r w:rsidR="008A2CBD" w:rsidRPr="00140678">
        <w:t>r</w:t>
      </w:r>
      <w:r w:rsidR="00A02457" w:rsidRPr="00140678">
        <w:t>eview</w:t>
      </w:r>
      <w:r w:rsidR="00A7236F" w:rsidRPr="00140678">
        <w:t>,</w:t>
      </w:r>
      <w:r w:rsidR="00A7236F">
        <w:rPr>
          <w:i/>
          <w:iCs/>
        </w:rPr>
        <w:t xml:space="preserve"> </w:t>
      </w:r>
      <w:r w:rsidR="00A7236F">
        <w:t>2022</w:t>
      </w:r>
      <w:r w:rsidR="00A02457">
        <w:rPr>
          <w:i/>
          <w:iCs/>
        </w:rPr>
        <w:t xml:space="preserve">. </w:t>
      </w:r>
    </w:p>
  </w:footnote>
  <w:footnote w:id="142">
    <w:p w14:paraId="2AE375E6" w14:textId="08190AE9" w:rsidR="00A02457" w:rsidRDefault="00526D0C" w:rsidP="00A02457">
      <w:pPr>
        <w:pStyle w:val="FootnoteText"/>
      </w:pPr>
      <w:r w:rsidRPr="00526D0C">
        <w:rPr>
          <w:rStyle w:val="FootnoteReference"/>
          <w:vertAlign w:val="baseline"/>
        </w:rPr>
        <w:footnoteRef/>
      </w:r>
      <w:r w:rsidR="00A02457">
        <w:rPr>
          <w:rFonts w:cstheme="minorHAnsi"/>
          <w:szCs w:val="22"/>
        </w:rPr>
        <w:t xml:space="preserve"> </w:t>
      </w:r>
      <w:r w:rsidR="00422489">
        <w:rPr>
          <w:rFonts w:cstheme="minorHAnsi"/>
          <w:szCs w:val="22"/>
        </w:rPr>
        <w:tab/>
      </w:r>
      <w:r w:rsidR="00A02457">
        <w:rPr>
          <w:rFonts w:cstheme="minorHAnsi"/>
          <w:szCs w:val="22"/>
        </w:rPr>
        <w:t xml:space="preserve">ASIC, </w:t>
      </w:r>
      <w:r w:rsidR="00A02457" w:rsidRPr="00140678">
        <w:rPr>
          <w:rFonts w:cstheme="minorHAnsi"/>
          <w:szCs w:val="22"/>
        </w:rPr>
        <w:t>Material supplied to t</w:t>
      </w:r>
      <w:r w:rsidR="00A7236F" w:rsidRPr="00140678">
        <w:rPr>
          <w:rFonts w:cstheme="minorHAnsi"/>
          <w:szCs w:val="22"/>
        </w:rPr>
        <w:t>his</w:t>
      </w:r>
      <w:r w:rsidR="00A02457" w:rsidRPr="00140678">
        <w:rPr>
          <w:rFonts w:cstheme="minorHAnsi"/>
          <w:szCs w:val="22"/>
        </w:rPr>
        <w:t xml:space="preserve"> </w:t>
      </w:r>
      <w:r w:rsidR="008A2CBD" w:rsidRPr="00140678">
        <w:rPr>
          <w:rFonts w:cstheme="minorHAnsi"/>
          <w:szCs w:val="22"/>
        </w:rPr>
        <w:t>r</w:t>
      </w:r>
      <w:r w:rsidR="00A02457" w:rsidRPr="00140678">
        <w:rPr>
          <w:rFonts w:cstheme="minorHAnsi"/>
          <w:szCs w:val="22"/>
        </w:rPr>
        <w:t>eview</w:t>
      </w:r>
      <w:r w:rsidR="00A7236F" w:rsidRPr="00140678">
        <w:rPr>
          <w:rFonts w:cstheme="minorHAnsi"/>
          <w:szCs w:val="22"/>
        </w:rPr>
        <w:t>,</w:t>
      </w:r>
      <w:r w:rsidR="00A7236F">
        <w:rPr>
          <w:rFonts w:cstheme="minorHAnsi"/>
          <w:i/>
          <w:iCs/>
          <w:szCs w:val="22"/>
        </w:rPr>
        <w:t xml:space="preserve"> </w:t>
      </w:r>
      <w:r w:rsidR="00A7236F">
        <w:t>2022</w:t>
      </w:r>
      <w:r w:rsidR="00FF48FA">
        <w:t>.</w:t>
      </w:r>
      <w:r w:rsidR="00A02457">
        <w:t xml:space="preserve"> </w:t>
      </w:r>
      <w:r w:rsidR="00FF48FA">
        <w:t>N</w:t>
      </w:r>
      <w:r w:rsidR="00A02457">
        <w:t>o timeframe for completion has been provided</w:t>
      </w:r>
      <w:r w:rsidR="001A1CBE">
        <w:t xml:space="preserve">. </w:t>
      </w:r>
    </w:p>
  </w:footnote>
  <w:footnote w:id="143">
    <w:p w14:paraId="732EC79A" w14:textId="1DB93A5B"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ASIC, </w:t>
      </w:r>
      <w:r w:rsidR="00A02457" w:rsidRPr="00140678">
        <w:t>Material supplied to t</w:t>
      </w:r>
      <w:r w:rsidR="00A7236F" w:rsidRPr="00140678">
        <w:t>his</w:t>
      </w:r>
      <w:r w:rsidR="00A02457" w:rsidRPr="00140678">
        <w:t xml:space="preserve"> </w:t>
      </w:r>
      <w:r w:rsidR="008A2CBD" w:rsidRPr="00140678">
        <w:t>r</w:t>
      </w:r>
      <w:r w:rsidR="00A02457" w:rsidRPr="00140678">
        <w:t>eview</w:t>
      </w:r>
      <w:r w:rsidR="00A7236F" w:rsidRPr="00140678">
        <w:t>,</w:t>
      </w:r>
      <w:r w:rsidR="00A7236F">
        <w:rPr>
          <w:i/>
          <w:iCs/>
        </w:rPr>
        <w:t xml:space="preserve"> </w:t>
      </w:r>
      <w:r w:rsidR="00A7236F">
        <w:t>2022</w:t>
      </w:r>
      <w:r w:rsidR="00FF48FA">
        <w:t>.</w:t>
      </w:r>
      <w:r w:rsidR="00A02457">
        <w:t xml:space="preserve"> </w:t>
      </w:r>
      <w:r w:rsidR="00FF48FA">
        <w:t>P</w:t>
      </w:r>
      <w:r w:rsidR="00A02457">
        <w:t xml:space="preserve">rimary legislation, regulations, ASIC </w:t>
      </w:r>
      <w:r w:rsidR="001201B7">
        <w:t>C</w:t>
      </w:r>
      <w:r w:rsidR="00A02457">
        <w:t xml:space="preserve">lass </w:t>
      </w:r>
      <w:r w:rsidR="001201B7">
        <w:t>I</w:t>
      </w:r>
      <w:r w:rsidR="00A02457">
        <w:t xml:space="preserve">nstruments, ASIC Pro Forma 209 conditions, ASIC Regulatory Guides and ASIC </w:t>
      </w:r>
      <w:r w:rsidR="001201B7">
        <w:t>I</w:t>
      </w:r>
      <w:r w:rsidR="00A02457">
        <w:t xml:space="preserve">nformation </w:t>
      </w:r>
      <w:r w:rsidR="001201B7">
        <w:t>S</w:t>
      </w:r>
      <w:r w:rsidR="00A02457">
        <w:t>heets.</w:t>
      </w:r>
    </w:p>
  </w:footnote>
  <w:footnote w:id="144">
    <w:p w14:paraId="64AC50FC" w14:textId="46F3F63F" w:rsidR="00A02457" w:rsidRDefault="00526D0C" w:rsidP="00A02457">
      <w:pPr>
        <w:pStyle w:val="FootnoteText"/>
      </w:pPr>
      <w:r w:rsidRPr="00526D0C">
        <w:rPr>
          <w:rStyle w:val="FootnoteReference"/>
          <w:vertAlign w:val="baseline"/>
        </w:rPr>
        <w:footnoteRef/>
      </w:r>
      <w:r w:rsidR="00A02457">
        <w:rPr>
          <w:rFonts w:cstheme="minorHAnsi"/>
          <w:szCs w:val="22"/>
        </w:rPr>
        <w:t xml:space="preserve"> </w:t>
      </w:r>
      <w:r w:rsidR="00422489">
        <w:rPr>
          <w:rFonts w:cstheme="minorHAnsi"/>
          <w:szCs w:val="22"/>
        </w:rPr>
        <w:tab/>
      </w:r>
      <w:r w:rsidR="00A02457">
        <w:rPr>
          <w:rFonts w:cstheme="minorHAnsi"/>
          <w:szCs w:val="22"/>
        </w:rPr>
        <w:t xml:space="preserve">ASIC, </w:t>
      </w:r>
      <w:r w:rsidR="00A02457" w:rsidRPr="00140678">
        <w:rPr>
          <w:rFonts w:cstheme="minorHAnsi"/>
          <w:szCs w:val="22"/>
        </w:rPr>
        <w:t>Material supplied to th</w:t>
      </w:r>
      <w:r w:rsidR="00A7236F" w:rsidRPr="00140678">
        <w:rPr>
          <w:rFonts w:cstheme="minorHAnsi"/>
          <w:szCs w:val="22"/>
        </w:rPr>
        <w:t>is</w:t>
      </w:r>
      <w:r w:rsidR="00A02457" w:rsidRPr="00140678">
        <w:rPr>
          <w:rFonts w:cstheme="minorHAnsi"/>
          <w:szCs w:val="22"/>
        </w:rPr>
        <w:t xml:space="preserve"> </w:t>
      </w:r>
      <w:r w:rsidR="008A2CBD" w:rsidRPr="00140678">
        <w:rPr>
          <w:rFonts w:cstheme="minorHAnsi"/>
          <w:szCs w:val="22"/>
        </w:rPr>
        <w:t>r</w:t>
      </w:r>
      <w:r w:rsidR="00A02457" w:rsidRPr="00140678">
        <w:rPr>
          <w:rFonts w:cstheme="minorHAnsi"/>
          <w:szCs w:val="22"/>
        </w:rPr>
        <w:t>eview</w:t>
      </w:r>
      <w:r w:rsidR="00A7236F" w:rsidRPr="00140678">
        <w:rPr>
          <w:rFonts w:cstheme="minorHAnsi"/>
          <w:szCs w:val="22"/>
        </w:rPr>
        <w:t>,</w:t>
      </w:r>
      <w:r w:rsidR="00A7236F">
        <w:rPr>
          <w:rFonts w:cstheme="minorHAnsi"/>
          <w:i/>
          <w:iCs/>
          <w:szCs w:val="22"/>
        </w:rPr>
        <w:t xml:space="preserve"> </w:t>
      </w:r>
      <w:r w:rsidR="00A7236F">
        <w:t>2022</w:t>
      </w:r>
      <w:r w:rsidR="007D7E4F">
        <w:t>.</w:t>
      </w:r>
      <w:r w:rsidR="00A02457">
        <w:t xml:space="preserve"> Pre</w:t>
      </w:r>
      <w:r w:rsidR="00EF40B0">
        <w:noBreakHyphen/>
      </w:r>
      <w:r w:rsidR="00A02457">
        <w:t xml:space="preserve">lodge rejects can be time consuming. In </w:t>
      </w:r>
      <w:r w:rsidR="00A76F92">
        <w:t>20</w:t>
      </w:r>
      <w:r w:rsidR="00A02457">
        <w:t>20</w:t>
      </w:r>
      <w:r w:rsidR="00A76F92">
        <w:t>–</w:t>
      </w:r>
      <w:r w:rsidR="00A02457">
        <w:t>21, 16% of applications lodged were rejected by ASIC or applicants withdrew after discussions with ASIC, due to the applications being submitted without the required information (304 of 1,883 applications)</w:t>
      </w:r>
      <w:r w:rsidR="00EF40B0">
        <w:t xml:space="preserve">. </w:t>
      </w:r>
      <w:r w:rsidR="00A02457">
        <w:t xml:space="preserve"> </w:t>
      </w:r>
    </w:p>
  </w:footnote>
  <w:footnote w:id="145">
    <w:p w14:paraId="41ABBF12" w14:textId="4ECF6A98"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ASIC, </w:t>
      </w:r>
      <w:r w:rsidR="00A02457" w:rsidRPr="001140DE">
        <w:t>Material supplied to th</w:t>
      </w:r>
      <w:r w:rsidR="00A7236F" w:rsidRPr="001140DE">
        <w:t>is</w:t>
      </w:r>
      <w:r w:rsidR="00A02457" w:rsidRPr="001140DE">
        <w:t xml:space="preserve"> </w:t>
      </w:r>
      <w:r w:rsidR="00E124EB" w:rsidRPr="001140DE">
        <w:t>r</w:t>
      </w:r>
      <w:r w:rsidR="00A02457" w:rsidRPr="001140DE">
        <w:t>eview</w:t>
      </w:r>
      <w:r w:rsidR="00A7236F" w:rsidRPr="001140DE">
        <w:t>,</w:t>
      </w:r>
      <w:r w:rsidR="00A7236F">
        <w:rPr>
          <w:i/>
          <w:iCs/>
        </w:rPr>
        <w:t xml:space="preserve"> </w:t>
      </w:r>
      <w:r w:rsidR="00A7236F">
        <w:t>2022</w:t>
      </w:r>
      <w:r w:rsidR="007D7E4F">
        <w:t>.</w:t>
      </w:r>
      <w:r w:rsidR="00A02457">
        <w:t xml:space="preserve"> </w:t>
      </w:r>
      <w:r w:rsidR="007D7E4F">
        <w:t>E</w:t>
      </w:r>
      <w:r w:rsidR="00A02457">
        <w:t>nhancements to the licensing function</w:t>
      </w:r>
      <w:r w:rsidR="00EF40B0">
        <w:t>’</w:t>
      </w:r>
      <w:r w:rsidR="00A02457">
        <w:t xml:space="preserve">s Digital Assessment Worksheet and secure Dropbox automation projects. </w:t>
      </w:r>
    </w:p>
  </w:footnote>
  <w:footnote w:id="146">
    <w:p w14:paraId="74CDE21D" w14:textId="0FFDCDAA" w:rsidR="00A02457" w:rsidRDefault="00526D0C" w:rsidP="00A02457">
      <w:pPr>
        <w:pStyle w:val="FootnoteText"/>
      </w:pPr>
      <w:r w:rsidRPr="00526D0C">
        <w:rPr>
          <w:rStyle w:val="FootnoteReference"/>
          <w:vertAlign w:val="baseline"/>
        </w:rPr>
        <w:footnoteRef/>
      </w:r>
      <w:r w:rsidR="00A02457">
        <w:t xml:space="preserve"> </w:t>
      </w:r>
      <w:r w:rsidR="00422489">
        <w:tab/>
      </w:r>
      <w:r w:rsidR="00A02457">
        <w:t>Confidential interviews, Law Council of Australia</w:t>
      </w:r>
      <w:r w:rsidR="007D7E4F">
        <w:t>.</w:t>
      </w:r>
      <w:r w:rsidR="00A02457">
        <w:t xml:space="preserve"> </w:t>
      </w:r>
      <w:r w:rsidR="007D7E4F">
        <w:t>S</w:t>
      </w:r>
      <w:r w:rsidR="00A02457">
        <w:t xml:space="preserve">takeholders raised that email was problematic with size limits. Emailing supporting documents would often mean multiple attachments and multiple emails. </w:t>
      </w:r>
    </w:p>
  </w:footnote>
  <w:footnote w:id="147">
    <w:p w14:paraId="511AE6C1" w14:textId="60676591" w:rsidR="00A7236F" w:rsidRDefault="00526D0C">
      <w:pPr>
        <w:pStyle w:val="FootnoteText"/>
      </w:pPr>
      <w:r w:rsidRPr="00526D0C">
        <w:rPr>
          <w:rStyle w:val="FootnoteReference"/>
          <w:vertAlign w:val="baseline"/>
        </w:rPr>
        <w:footnoteRef/>
      </w:r>
      <w:r w:rsidR="00A7236F">
        <w:t xml:space="preserve"> </w:t>
      </w:r>
      <w:r w:rsidR="00482C61">
        <w:tab/>
      </w:r>
      <w:r w:rsidR="00A7236F">
        <w:t xml:space="preserve">This process is explained in ASIC Information Sheet 240. AFS licence applications: Providing information for fit and proper people and </w:t>
      </w:r>
      <w:r w:rsidR="00B24E9B">
        <w:t>certain authorisations.</w:t>
      </w:r>
    </w:p>
  </w:footnote>
  <w:footnote w:id="148">
    <w:p w14:paraId="196864CE" w14:textId="4219FBE5" w:rsidR="00A02457" w:rsidRDefault="00526D0C" w:rsidP="00A02457">
      <w:pPr>
        <w:pStyle w:val="FootnoteText"/>
      </w:pPr>
      <w:r w:rsidRPr="00526D0C">
        <w:rPr>
          <w:rStyle w:val="FootnoteReference"/>
          <w:vertAlign w:val="baseline"/>
        </w:rPr>
        <w:footnoteRef/>
      </w:r>
      <w:r w:rsidR="00A02457">
        <w:t xml:space="preserve"> </w:t>
      </w:r>
      <w:r w:rsidR="00422489">
        <w:tab/>
      </w:r>
      <w:r w:rsidR="00A02457">
        <w:t>R</w:t>
      </w:r>
      <w:r w:rsidR="00A02457" w:rsidRPr="00BB5505">
        <w:t>aised in public submission</w:t>
      </w:r>
      <w:r w:rsidR="00A02457">
        <w:t xml:space="preserve"> by the Law Council of Australia</w:t>
      </w:r>
      <w:r w:rsidR="00A02457" w:rsidRPr="00BB5505">
        <w:t xml:space="preserve"> and targeted interviews</w:t>
      </w:r>
      <w:r w:rsidR="00A02457">
        <w:t xml:space="preserve">. </w:t>
      </w:r>
    </w:p>
  </w:footnote>
  <w:footnote w:id="149">
    <w:p w14:paraId="54EFE676" w14:textId="78FC8026" w:rsidR="00A02457" w:rsidRDefault="00526D0C" w:rsidP="00A02457">
      <w:pPr>
        <w:pStyle w:val="FootnoteText"/>
      </w:pPr>
      <w:r w:rsidRPr="00526D0C">
        <w:rPr>
          <w:rStyle w:val="FootnoteReference"/>
          <w:vertAlign w:val="baseline"/>
        </w:rPr>
        <w:footnoteRef/>
      </w:r>
      <w:r w:rsidR="00A02457">
        <w:rPr>
          <w:rFonts w:cstheme="minorHAnsi"/>
          <w:szCs w:val="22"/>
        </w:rPr>
        <w:t xml:space="preserve"> </w:t>
      </w:r>
      <w:r w:rsidR="00422489">
        <w:rPr>
          <w:rFonts w:cstheme="minorHAnsi"/>
          <w:szCs w:val="22"/>
        </w:rPr>
        <w:tab/>
      </w:r>
      <w:r w:rsidR="00A02457">
        <w:rPr>
          <w:rFonts w:cstheme="minorHAnsi"/>
          <w:szCs w:val="22"/>
        </w:rPr>
        <w:t xml:space="preserve">ASIC, </w:t>
      </w:r>
      <w:r w:rsidR="00A02457" w:rsidRPr="001140DE">
        <w:rPr>
          <w:rFonts w:cstheme="minorHAnsi"/>
          <w:szCs w:val="22"/>
        </w:rPr>
        <w:t>Material supplied to th</w:t>
      </w:r>
      <w:r w:rsidR="00294FC8" w:rsidRPr="001140DE">
        <w:rPr>
          <w:rFonts w:cstheme="minorHAnsi"/>
          <w:szCs w:val="22"/>
        </w:rPr>
        <w:t>is</w:t>
      </w:r>
      <w:r w:rsidR="00A02457" w:rsidRPr="001140DE">
        <w:rPr>
          <w:rFonts w:cstheme="minorHAnsi"/>
          <w:szCs w:val="22"/>
        </w:rPr>
        <w:t xml:space="preserve"> </w:t>
      </w:r>
      <w:r w:rsidR="00E124EB">
        <w:rPr>
          <w:rFonts w:cstheme="minorHAnsi"/>
          <w:szCs w:val="22"/>
        </w:rPr>
        <w:t>r</w:t>
      </w:r>
      <w:r w:rsidR="00A02457" w:rsidRPr="001140DE">
        <w:rPr>
          <w:rFonts w:cstheme="minorHAnsi"/>
          <w:szCs w:val="22"/>
        </w:rPr>
        <w:t>eview</w:t>
      </w:r>
      <w:r w:rsidR="00294FC8" w:rsidRPr="001140DE">
        <w:rPr>
          <w:rFonts w:cstheme="minorHAnsi"/>
          <w:szCs w:val="22"/>
        </w:rPr>
        <w:t>,</w:t>
      </w:r>
      <w:r w:rsidR="00294FC8">
        <w:rPr>
          <w:rFonts w:cstheme="minorHAnsi"/>
          <w:i/>
          <w:iCs/>
          <w:szCs w:val="22"/>
        </w:rPr>
        <w:t xml:space="preserve"> </w:t>
      </w:r>
      <w:r w:rsidR="00294FC8">
        <w:rPr>
          <w:rFonts w:cstheme="minorHAnsi"/>
          <w:szCs w:val="22"/>
        </w:rPr>
        <w:t>2022</w:t>
      </w:r>
      <w:r w:rsidR="00A02457">
        <w:rPr>
          <w:rFonts w:cstheme="minorHAnsi"/>
          <w:szCs w:val="22"/>
        </w:rPr>
        <w:t>.</w:t>
      </w:r>
      <w:r w:rsidR="00A02457">
        <w:t xml:space="preserve"> Note the context, looking at operational decisions only, not licensing decisions. The licensing regime allows a level of discretion in satisfying the legislative requirements.</w:t>
      </w:r>
    </w:p>
  </w:footnote>
  <w:footnote w:id="150">
    <w:p w14:paraId="12691C7B" w14:textId="4F8AD32E"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Confidential interviews. </w:t>
      </w:r>
    </w:p>
  </w:footnote>
  <w:footnote w:id="151">
    <w:p w14:paraId="65764577" w14:textId="0F62CE58"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The Quality Assurance process involves a quality check against defined qualitative and quantitative measures for a random selection of 10 AFS licence assessments each month. It is a review of process, not the decision. Licensing staff undertake the </w:t>
      </w:r>
      <w:r w:rsidR="00EF40B0">
        <w:t>‘</w:t>
      </w:r>
      <w:r w:rsidR="00A02457">
        <w:t>peer</w:t>
      </w:r>
      <w:r w:rsidR="00EF40B0">
        <w:t>’</w:t>
      </w:r>
      <w:r w:rsidR="00A02457">
        <w:t xml:space="preserve"> </w:t>
      </w:r>
      <w:r w:rsidR="009E4FF8">
        <w:t>quality assurance</w:t>
      </w:r>
      <w:r w:rsidR="00A02457">
        <w:t xml:space="preserve"> review process with oversight from ASIC</w:t>
      </w:r>
      <w:r w:rsidR="00EF40B0">
        <w:t>’</w:t>
      </w:r>
      <w:r w:rsidR="00A02457">
        <w:t xml:space="preserve">s </w:t>
      </w:r>
      <w:r w:rsidR="009E4FF8">
        <w:t xml:space="preserve">quality assurance </w:t>
      </w:r>
      <w:r w:rsidR="00A02457">
        <w:t>team. Between October 2019 and June 2021, the overall average analyst assessment quality has ranged between 83% to 90%. The 17% to 10% quality reduction observed was for administrative matters (</w:t>
      </w:r>
      <w:r w:rsidR="007C6D03">
        <w:t>that is,</w:t>
      </w:r>
      <w:r w:rsidR="007F41A1">
        <w:t xml:space="preserve"> </w:t>
      </w:r>
      <w:r w:rsidR="00A02457">
        <w:t xml:space="preserve">not appropriately documented). No deficiencies were detected in assessments. </w:t>
      </w:r>
    </w:p>
  </w:footnote>
  <w:footnote w:id="152">
    <w:p w14:paraId="0553DB92" w14:textId="11E4A45C" w:rsidR="00A02457" w:rsidRDefault="00526D0C" w:rsidP="00A02457">
      <w:pPr>
        <w:pStyle w:val="FootnoteText"/>
      </w:pPr>
      <w:r w:rsidRPr="00526D0C">
        <w:rPr>
          <w:rStyle w:val="FootnoteReference"/>
          <w:vertAlign w:val="baseline"/>
        </w:rPr>
        <w:footnoteRef/>
      </w:r>
      <w:r w:rsidR="00A02457">
        <w:t xml:space="preserve"> </w:t>
      </w:r>
      <w:r w:rsidR="00422489">
        <w:tab/>
      </w:r>
      <w:r w:rsidR="00A02457">
        <w:rPr>
          <w:rFonts w:cstheme="minorHAnsi"/>
          <w:szCs w:val="22"/>
        </w:rPr>
        <w:t xml:space="preserve">ASIC, </w:t>
      </w:r>
      <w:r w:rsidR="00A02457" w:rsidRPr="001140DE">
        <w:rPr>
          <w:rFonts w:cstheme="minorHAnsi"/>
          <w:szCs w:val="22"/>
        </w:rPr>
        <w:t>Material supplied to th</w:t>
      </w:r>
      <w:r w:rsidR="00294FC8" w:rsidRPr="001140DE">
        <w:rPr>
          <w:rFonts w:cstheme="minorHAnsi"/>
          <w:szCs w:val="22"/>
        </w:rPr>
        <w:t>is</w:t>
      </w:r>
      <w:r w:rsidR="00A02457" w:rsidRPr="001140DE">
        <w:rPr>
          <w:rFonts w:cstheme="minorHAnsi"/>
          <w:szCs w:val="22"/>
        </w:rPr>
        <w:t xml:space="preserve"> </w:t>
      </w:r>
      <w:r w:rsidR="005B2C5F">
        <w:rPr>
          <w:rFonts w:cstheme="minorHAnsi"/>
          <w:szCs w:val="22"/>
        </w:rPr>
        <w:t>r</w:t>
      </w:r>
      <w:r w:rsidR="00A02457" w:rsidRPr="001140DE">
        <w:rPr>
          <w:rFonts w:cstheme="minorHAnsi"/>
          <w:szCs w:val="22"/>
        </w:rPr>
        <w:t>eview</w:t>
      </w:r>
      <w:r w:rsidR="00294FC8">
        <w:rPr>
          <w:rFonts w:cstheme="minorHAnsi"/>
          <w:i/>
          <w:iCs/>
          <w:szCs w:val="22"/>
        </w:rPr>
        <w:t xml:space="preserve">, </w:t>
      </w:r>
      <w:r w:rsidR="00294FC8">
        <w:rPr>
          <w:rFonts w:cstheme="minorHAnsi"/>
          <w:szCs w:val="22"/>
        </w:rPr>
        <w:t>2022</w:t>
      </w:r>
      <w:r w:rsidR="00A02457">
        <w:rPr>
          <w:rFonts w:cstheme="minorHAnsi"/>
          <w:i/>
          <w:iCs/>
          <w:szCs w:val="22"/>
        </w:rPr>
        <w:t>.</w:t>
      </w:r>
    </w:p>
  </w:footnote>
  <w:footnote w:id="153">
    <w:p w14:paraId="7D1B34BF" w14:textId="7C145124"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ASIC notes that it is possible to test claims of consistency of operational decisions. The FRAA did not review individual decisions and was </w:t>
      </w:r>
      <w:r w:rsidR="00502E86">
        <w:t xml:space="preserve">advised by ASIC </w:t>
      </w:r>
      <w:r w:rsidR="006144F1">
        <w:t>t</w:t>
      </w:r>
      <w:r w:rsidR="00502E86">
        <w:t>hat consistency audits are not conducted</w:t>
      </w:r>
      <w:r w:rsidR="00C606AD">
        <w:t xml:space="preserve">. </w:t>
      </w:r>
    </w:p>
  </w:footnote>
  <w:footnote w:id="154">
    <w:p w14:paraId="17C372E2" w14:textId="732497D0" w:rsidR="00A02457" w:rsidRDefault="00526D0C" w:rsidP="00A02457">
      <w:pPr>
        <w:pStyle w:val="FootnoteText"/>
      </w:pPr>
      <w:r w:rsidRPr="00526D0C">
        <w:rPr>
          <w:rStyle w:val="FootnoteReference"/>
          <w:vertAlign w:val="baseline"/>
        </w:rPr>
        <w:footnoteRef/>
      </w:r>
      <w:r w:rsidR="00A02457">
        <w:t xml:space="preserve"> </w:t>
      </w:r>
      <w:r w:rsidR="00422489">
        <w:tab/>
      </w:r>
      <w:r w:rsidR="00A02457">
        <w:t>Confidential submissions, Business Council of Australia, Law Council of Australia, Insurance Council of Australia, CPA Australia</w:t>
      </w:r>
      <w:r w:rsidR="00C6466C">
        <w:t>,</w:t>
      </w:r>
      <w:r w:rsidR="00A02457">
        <w:t xml:space="preserve"> confidential interviews. </w:t>
      </w:r>
    </w:p>
  </w:footnote>
  <w:footnote w:id="155">
    <w:p w14:paraId="401B065E" w14:textId="2AA2FD9E" w:rsidR="00A02457" w:rsidRDefault="00526D0C" w:rsidP="00A02457">
      <w:pPr>
        <w:pStyle w:val="FootnoteText"/>
      </w:pPr>
      <w:r w:rsidRPr="00526D0C">
        <w:rPr>
          <w:rStyle w:val="FootnoteReference"/>
          <w:vertAlign w:val="baseline"/>
        </w:rPr>
        <w:footnoteRef/>
      </w:r>
      <w:r w:rsidR="00A02457">
        <w:t xml:space="preserve"> </w:t>
      </w:r>
      <w:r w:rsidR="00422489">
        <w:tab/>
      </w:r>
      <w:r w:rsidR="00A02457" w:rsidRPr="00081103">
        <w:t xml:space="preserve">Confidential submission. Unlike some international regulators, licensees are not required to seek approval from ASIC to have a change of control in licensee, ASIC must only be notified after the change. For example, the </w:t>
      </w:r>
      <w:r w:rsidR="00B527E7">
        <w:t>FCA</w:t>
      </w:r>
      <w:r w:rsidR="00A02457" w:rsidRPr="00081103">
        <w:t xml:space="preserve"> requires prior approval to acquire or increase control in a regulated firm, and a person must be approved by the Securities and Futures Commission </w:t>
      </w:r>
      <w:r w:rsidR="00B527E7">
        <w:t>of</w:t>
      </w:r>
      <w:r w:rsidR="00A02457" w:rsidRPr="00081103">
        <w:t xml:space="preserve"> Hong Kong before becoming a substantial shareholder in a licensed entity</w:t>
      </w:r>
      <w:r w:rsidR="00EF40B0">
        <w:t xml:space="preserve">. </w:t>
      </w:r>
    </w:p>
  </w:footnote>
  <w:footnote w:id="156">
    <w:p w14:paraId="67D01BD0" w14:textId="1EBED34E"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Business Council of Australia, Law Council of Australia. </w:t>
      </w:r>
    </w:p>
  </w:footnote>
  <w:footnote w:id="157">
    <w:p w14:paraId="673BA924" w14:textId="4077A545" w:rsidR="00BD4FEC" w:rsidRPr="00BD4FEC" w:rsidRDefault="00526D0C">
      <w:pPr>
        <w:pStyle w:val="FootnoteText"/>
      </w:pPr>
      <w:r w:rsidRPr="00526D0C">
        <w:rPr>
          <w:rStyle w:val="FootnoteReference"/>
          <w:vertAlign w:val="baseline"/>
        </w:rPr>
        <w:footnoteRef/>
      </w:r>
      <w:r w:rsidR="00BD4FEC" w:rsidRPr="00BD4FEC">
        <w:t xml:space="preserve"> </w:t>
      </w:r>
      <w:r w:rsidR="00482C61">
        <w:tab/>
      </w:r>
      <w:r w:rsidR="00C73544">
        <w:rPr>
          <w:rFonts w:eastAsia="Calibri" w:cs="Calibri"/>
          <w:szCs w:val="18"/>
        </w:rPr>
        <w:t xml:space="preserve">ASIC, </w:t>
      </w:r>
      <w:hyperlink r:id="rId23" w:history="1">
        <w:r w:rsidR="00C73544" w:rsidRPr="001413D7">
          <w:rPr>
            <w:rStyle w:val="Hyperlink"/>
            <w:rFonts w:eastAsia="Calibri" w:cs="Calibri"/>
            <w:i/>
            <w:iCs/>
            <w:szCs w:val="18"/>
          </w:rPr>
          <w:t xml:space="preserve">ASIC </w:t>
        </w:r>
        <w:r w:rsidR="00C73544">
          <w:rPr>
            <w:rStyle w:val="Hyperlink"/>
            <w:rFonts w:eastAsia="Calibri" w:cs="Calibri"/>
            <w:i/>
            <w:iCs/>
            <w:szCs w:val="18"/>
          </w:rPr>
          <w:t>S</w:t>
        </w:r>
        <w:r w:rsidR="00C73544" w:rsidRPr="001413D7">
          <w:rPr>
            <w:rStyle w:val="Hyperlink"/>
            <w:rFonts w:eastAsia="Calibri" w:cs="Calibri"/>
            <w:i/>
            <w:iCs/>
            <w:szCs w:val="18"/>
          </w:rPr>
          <w:t xml:space="preserve">ervice </w:t>
        </w:r>
        <w:r w:rsidR="00C73544">
          <w:rPr>
            <w:rStyle w:val="Hyperlink"/>
            <w:rFonts w:eastAsia="Calibri" w:cs="Calibri"/>
            <w:i/>
            <w:iCs/>
            <w:szCs w:val="18"/>
          </w:rPr>
          <w:t>C</w:t>
        </w:r>
        <w:r w:rsidR="00C73544" w:rsidRPr="001413D7">
          <w:rPr>
            <w:rStyle w:val="Hyperlink"/>
            <w:rFonts w:eastAsia="Calibri" w:cs="Calibri"/>
            <w:i/>
            <w:iCs/>
            <w:szCs w:val="18"/>
          </w:rPr>
          <w:t>harter</w:t>
        </w:r>
      </w:hyperlink>
      <w:r w:rsidR="00C73544">
        <w:rPr>
          <w:rFonts w:eastAsia="Calibri" w:cs="Calibri"/>
          <w:szCs w:val="18"/>
        </w:rPr>
        <w:t>, ASIC website, 2021, accessed 21 July 2022</w:t>
      </w:r>
    </w:p>
  </w:footnote>
  <w:footnote w:id="158">
    <w:p w14:paraId="5E79C6C0" w14:textId="2C4AD929" w:rsidR="00AC7ECA" w:rsidRDefault="00526D0C" w:rsidP="00AC7ECA">
      <w:pPr>
        <w:pStyle w:val="FootnoteText"/>
      </w:pPr>
      <w:r w:rsidRPr="00526D0C">
        <w:rPr>
          <w:rStyle w:val="FootnoteReference"/>
          <w:vertAlign w:val="baseline"/>
        </w:rPr>
        <w:footnoteRef/>
      </w:r>
      <w:r w:rsidR="00AC7ECA">
        <w:t xml:space="preserve"> </w:t>
      </w:r>
      <w:r w:rsidR="00AC7ECA">
        <w:tab/>
        <w:t>The Ontario Securities Commission</w:t>
      </w:r>
      <w:r w:rsidR="007907AA">
        <w:t xml:space="preserve"> (OSC)</w:t>
      </w:r>
      <w:r w:rsidR="00AC7ECA">
        <w:t xml:space="preserve"> comparison is of routine applications, not complex or novel applications. The U</w:t>
      </w:r>
      <w:r w:rsidR="001807DE">
        <w:t xml:space="preserve">nited </w:t>
      </w:r>
      <w:r w:rsidR="00AC7ECA">
        <w:t>K</w:t>
      </w:r>
      <w:r w:rsidR="001807DE">
        <w:t>ingdom</w:t>
      </w:r>
      <w:r w:rsidR="00EF40B0">
        <w:t>’</w:t>
      </w:r>
      <w:r w:rsidR="00AC7ECA">
        <w:t xml:space="preserve">s FCA timeframes refer to statutory timeframes of </w:t>
      </w:r>
      <w:r w:rsidR="00EF40B0">
        <w:t>‘</w:t>
      </w:r>
      <w:r w:rsidR="00AC7ECA">
        <w:t>complete</w:t>
      </w:r>
      <w:r w:rsidR="00EF40B0">
        <w:t>’</w:t>
      </w:r>
      <w:r w:rsidR="00AC7ECA">
        <w:t xml:space="preserve"> applications and </w:t>
      </w:r>
      <w:r w:rsidR="00EF40B0">
        <w:t>‘</w:t>
      </w:r>
      <w:r w:rsidR="00AC7ECA">
        <w:t>incomplete</w:t>
      </w:r>
      <w:r w:rsidR="00EF40B0">
        <w:t>’</w:t>
      </w:r>
      <w:r w:rsidR="00AC7ECA">
        <w:t xml:space="preserve"> applications submitted.</w:t>
      </w:r>
    </w:p>
  </w:footnote>
  <w:footnote w:id="159">
    <w:p w14:paraId="5128E2B0" w14:textId="7342203E" w:rsidR="00A02457" w:rsidRDefault="00526D0C" w:rsidP="00A02457">
      <w:pPr>
        <w:pStyle w:val="FootnoteText"/>
      </w:pPr>
      <w:r w:rsidRPr="00526D0C">
        <w:rPr>
          <w:rStyle w:val="FootnoteReference"/>
          <w:vertAlign w:val="baseline"/>
        </w:rPr>
        <w:footnoteRef/>
      </w:r>
      <w:r w:rsidR="00A02457">
        <w:rPr>
          <w:rFonts w:cstheme="minorHAnsi"/>
          <w:szCs w:val="22"/>
        </w:rPr>
        <w:t xml:space="preserve"> </w:t>
      </w:r>
      <w:r w:rsidR="00422489">
        <w:rPr>
          <w:rFonts w:cstheme="minorHAnsi"/>
          <w:szCs w:val="22"/>
        </w:rPr>
        <w:tab/>
      </w:r>
      <w:r w:rsidR="00A02457">
        <w:rPr>
          <w:rFonts w:cstheme="minorHAnsi"/>
          <w:szCs w:val="22"/>
        </w:rPr>
        <w:t xml:space="preserve">ASIC, </w:t>
      </w:r>
      <w:r w:rsidR="00A02457" w:rsidRPr="00140678">
        <w:rPr>
          <w:rFonts w:cstheme="minorHAnsi"/>
          <w:szCs w:val="22"/>
        </w:rPr>
        <w:t>Material supplied to th</w:t>
      </w:r>
      <w:r w:rsidR="00741631" w:rsidRPr="00140678">
        <w:rPr>
          <w:rFonts w:cstheme="minorHAnsi"/>
          <w:szCs w:val="22"/>
        </w:rPr>
        <w:t>is</w:t>
      </w:r>
      <w:r w:rsidR="00A02457" w:rsidRPr="00140678">
        <w:rPr>
          <w:rFonts w:cstheme="minorHAnsi"/>
          <w:szCs w:val="22"/>
        </w:rPr>
        <w:t xml:space="preserve"> </w:t>
      </w:r>
      <w:r w:rsidR="00FF1551" w:rsidRPr="00140678">
        <w:rPr>
          <w:rFonts w:cstheme="minorHAnsi"/>
          <w:szCs w:val="22"/>
        </w:rPr>
        <w:t>r</w:t>
      </w:r>
      <w:r w:rsidR="00A02457" w:rsidRPr="00140678">
        <w:rPr>
          <w:rFonts w:cstheme="minorHAnsi"/>
          <w:szCs w:val="22"/>
        </w:rPr>
        <w:t>eview</w:t>
      </w:r>
      <w:r w:rsidR="00741631" w:rsidRPr="00140678">
        <w:rPr>
          <w:rFonts w:cstheme="minorHAnsi"/>
          <w:szCs w:val="22"/>
        </w:rPr>
        <w:t>,</w:t>
      </w:r>
      <w:r w:rsidR="00741631">
        <w:rPr>
          <w:rFonts w:cstheme="minorHAnsi"/>
          <w:i/>
          <w:iCs/>
          <w:szCs w:val="22"/>
        </w:rPr>
        <w:t xml:space="preserve"> </w:t>
      </w:r>
      <w:r w:rsidR="00741631">
        <w:rPr>
          <w:rFonts w:cstheme="minorHAnsi"/>
          <w:szCs w:val="22"/>
        </w:rPr>
        <w:t>2022</w:t>
      </w:r>
      <w:r w:rsidR="00EF40B0">
        <w:rPr>
          <w:rFonts w:cstheme="minorHAnsi"/>
          <w:szCs w:val="22"/>
        </w:rPr>
        <w:t xml:space="preserve">. </w:t>
      </w:r>
      <w:r w:rsidR="00A02457">
        <w:t xml:space="preserve">  </w:t>
      </w:r>
    </w:p>
  </w:footnote>
  <w:footnote w:id="160">
    <w:p w14:paraId="288D63AA" w14:textId="4D5F3A6F" w:rsidR="00A02457" w:rsidRDefault="00526D0C" w:rsidP="00A02457">
      <w:pPr>
        <w:pStyle w:val="FootnoteText"/>
      </w:pPr>
      <w:r w:rsidRPr="00526D0C">
        <w:rPr>
          <w:rStyle w:val="FootnoteReference"/>
          <w:vertAlign w:val="baseline"/>
        </w:rPr>
        <w:footnoteRef/>
      </w:r>
      <w:r w:rsidR="00A02457">
        <w:rPr>
          <w:rFonts w:cstheme="minorHAnsi"/>
          <w:szCs w:val="22"/>
        </w:rPr>
        <w:t xml:space="preserve"> </w:t>
      </w:r>
      <w:r w:rsidR="00422489">
        <w:rPr>
          <w:rFonts w:cstheme="minorHAnsi"/>
          <w:szCs w:val="22"/>
        </w:rPr>
        <w:tab/>
      </w:r>
      <w:r w:rsidR="00A02457">
        <w:rPr>
          <w:rFonts w:cstheme="minorHAnsi"/>
          <w:szCs w:val="22"/>
        </w:rPr>
        <w:t xml:space="preserve">ASIC, </w:t>
      </w:r>
      <w:r w:rsidR="00A02457" w:rsidRPr="00140678">
        <w:rPr>
          <w:rFonts w:cstheme="minorHAnsi"/>
          <w:szCs w:val="22"/>
        </w:rPr>
        <w:t>Material supplied to th</w:t>
      </w:r>
      <w:r w:rsidR="00741631" w:rsidRPr="00140678">
        <w:rPr>
          <w:rFonts w:cstheme="minorHAnsi"/>
          <w:szCs w:val="22"/>
        </w:rPr>
        <w:t>is</w:t>
      </w:r>
      <w:r w:rsidR="00A02457" w:rsidRPr="00140678">
        <w:rPr>
          <w:rFonts w:cstheme="minorHAnsi"/>
          <w:szCs w:val="22"/>
        </w:rPr>
        <w:t xml:space="preserve"> </w:t>
      </w:r>
      <w:r w:rsidR="00FF1551" w:rsidRPr="00140678">
        <w:rPr>
          <w:rFonts w:cstheme="minorHAnsi"/>
          <w:szCs w:val="22"/>
        </w:rPr>
        <w:t>r</w:t>
      </w:r>
      <w:r w:rsidR="00A02457" w:rsidRPr="00140678">
        <w:rPr>
          <w:rFonts w:cstheme="minorHAnsi"/>
          <w:szCs w:val="22"/>
        </w:rPr>
        <w:t>eview</w:t>
      </w:r>
      <w:r w:rsidR="00741631">
        <w:rPr>
          <w:rFonts w:cstheme="minorHAnsi"/>
          <w:i/>
          <w:iCs/>
          <w:szCs w:val="22"/>
        </w:rPr>
        <w:t xml:space="preserve">, </w:t>
      </w:r>
      <w:r w:rsidR="00741631">
        <w:rPr>
          <w:rFonts w:cstheme="minorHAnsi"/>
          <w:szCs w:val="22"/>
        </w:rPr>
        <w:t>2022</w:t>
      </w:r>
      <w:r w:rsidR="00A02457">
        <w:rPr>
          <w:rFonts w:cstheme="minorHAnsi"/>
          <w:szCs w:val="22"/>
        </w:rPr>
        <w:t xml:space="preserve">. </w:t>
      </w:r>
    </w:p>
  </w:footnote>
  <w:footnote w:id="161">
    <w:p w14:paraId="53352F8C" w14:textId="542968A0" w:rsidR="00A02457" w:rsidRDefault="00526D0C" w:rsidP="00A02457">
      <w:pPr>
        <w:pStyle w:val="FootnoteText"/>
      </w:pPr>
      <w:r w:rsidRPr="00526D0C">
        <w:rPr>
          <w:rStyle w:val="FootnoteReference"/>
          <w:vertAlign w:val="baseline"/>
        </w:rPr>
        <w:footnoteRef/>
      </w:r>
      <w:r w:rsidR="00A02457">
        <w:t xml:space="preserve"> </w:t>
      </w:r>
      <w:r w:rsidR="00422489">
        <w:tab/>
      </w:r>
      <w:r w:rsidR="00A02457">
        <w:rPr>
          <w:rFonts w:cstheme="minorHAnsi"/>
          <w:szCs w:val="22"/>
        </w:rPr>
        <w:t xml:space="preserve">ASIC, </w:t>
      </w:r>
      <w:r w:rsidR="00A02457" w:rsidRPr="00B54023">
        <w:rPr>
          <w:rFonts w:cstheme="minorHAnsi"/>
          <w:szCs w:val="22"/>
        </w:rPr>
        <w:t>Material supplied to th</w:t>
      </w:r>
      <w:r w:rsidR="00B94304" w:rsidRPr="00B54023">
        <w:rPr>
          <w:rFonts w:cstheme="minorHAnsi"/>
          <w:szCs w:val="22"/>
        </w:rPr>
        <w:t>is</w:t>
      </w:r>
      <w:r w:rsidR="00A02457" w:rsidRPr="00B54023">
        <w:rPr>
          <w:rFonts w:cstheme="minorHAnsi"/>
          <w:szCs w:val="22"/>
        </w:rPr>
        <w:t xml:space="preserve"> </w:t>
      </w:r>
      <w:r w:rsidR="00FF1551" w:rsidRPr="00B54023">
        <w:rPr>
          <w:rFonts w:cstheme="minorHAnsi"/>
          <w:szCs w:val="22"/>
        </w:rPr>
        <w:t>r</w:t>
      </w:r>
      <w:r w:rsidR="00A02457" w:rsidRPr="00B54023">
        <w:rPr>
          <w:rFonts w:cstheme="minorHAnsi"/>
          <w:szCs w:val="22"/>
        </w:rPr>
        <w:t>eview</w:t>
      </w:r>
      <w:r w:rsidR="00A02457">
        <w:rPr>
          <w:rFonts w:cstheme="minorHAnsi"/>
          <w:i/>
          <w:szCs w:val="22"/>
        </w:rPr>
        <w:t xml:space="preserve">, </w:t>
      </w:r>
      <w:r w:rsidR="00B94304">
        <w:rPr>
          <w:rFonts w:cstheme="minorHAnsi"/>
          <w:szCs w:val="22"/>
        </w:rPr>
        <w:t>2022</w:t>
      </w:r>
      <w:r w:rsidR="00B80D36">
        <w:rPr>
          <w:rFonts w:cstheme="minorHAnsi"/>
          <w:szCs w:val="22"/>
        </w:rPr>
        <w:t>. C</w:t>
      </w:r>
      <w:r w:rsidR="00A02457">
        <w:t>onfidential interview</w:t>
      </w:r>
      <w:r w:rsidR="00A02457" w:rsidRPr="004045E6">
        <w:t xml:space="preserve">. </w:t>
      </w:r>
    </w:p>
  </w:footnote>
  <w:footnote w:id="162">
    <w:p w14:paraId="3A6DEFF1" w14:textId="639A5183" w:rsidR="00A02457" w:rsidRDefault="00526D0C" w:rsidP="00A02457">
      <w:pPr>
        <w:pStyle w:val="FootnoteText"/>
      </w:pPr>
      <w:r w:rsidRPr="00526D0C">
        <w:rPr>
          <w:rStyle w:val="FootnoteReference"/>
          <w:vertAlign w:val="baseline"/>
        </w:rPr>
        <w:footnoteRef/>
      </w:r>
      <w:r w:rsidR="00A02457">
        <w:t xml:space="preserve"> </w:t>
      </w:r>
      <w:r w:rsidR="00422489">
        <w:tab/>
      </w:r>
      <w:r w:rsidR="00A02457">
        <w:rPr>
          <w:rFonts w:cstheme="minorHAnsi"/>
          <w:szCs w:val="22"/>
        </w:rPr>
        <w:t xml:space="preserve">ASIC, </w:t>
      </w:r>
      <w:r w:rsidR="00A02457" w:rsidRPr="00861891">
        <w:rPr>
          <w:rFonts w:cstheme="minorHAnsi"/>
          <w:szCs w:val="22"/>
        </w:rPr>
        <w:t>Material supplied to th</w:t>
      </w:r>
      <w:r w:rsidR="00B94304" w:rsidRPr="00861891">
        <w:rPr>
          <w:rFonts w:cstheme="minorHAnsi"/>
          <w:szCs w:val="22"/>
        </w:rPr>
        <w:t>is</w:t>
      </w:r>
      <w:r w:rsidR="00A02457" w:rsidRPr="00861891">
        <w:rPr>
          <w:rFonts w:cstheme="minorHAnsi"/>
          <w:szCs w:val="22"/>
        </w:rPr>
        <w:t xml:space="preserve"> </w:t>
      </w:r>
      <w:r w:rsidR="00FF1551">
        <w:rPr>
          <w:rFonts w:cstheme="minorHAnsi"/>
          <w:szCs w:val="22"/>
        </w:rPr>
        <w:t>r</w:t>
      </w:r>
      <w:r w:rsidR="00A02457" w:rsidRPr="00B54023">
        <w:rPr>
          <w:rFonts w:cstheme="minorHAnsi"/>
          <w:szCs w:val="22"/>
        </w:rPr>
        <w:t>eview</w:t>
      </w:r>
      <w:r w:rsidR="00B94304">
        <w:rPr>
          <w:rFonts w:cstheme="minorHAnsi"/>
          <w:i/>
          <w:iCs/>
          <w:szCs w:val="22"/>
        </w:rPr>
        <w:t xml:space="preserve">, </w:t>
      </w:r>
      <w:r w:rsidR="00B94304">
        <w:rPr>
          <w:rFonts w:cstheme="minorHAnsi"/>
          <w:szCs w:val="22"/>
        </w:rPr>
        <w:t>2022</w:t>
      </w:r>
      <w:r w:rsidR="00EF40B0">
        <w:rPr>
          <w:rFonts w:cstheme="minorHAnsi"/>
          <w:szCs w:val="22"/>
        </w:rPr>
        <w:t xml:space="preserve">. </w:t>
      </w:r>
    </w:p>
  </w:footnote>
  <w:footnote w:id="163">
    <w:p w14:paraId="269AC17A" w14:textId="4B8B0EEE"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Confidential interview. </w:t>
      </w:r>
    </w:p>
  </w:footnote>
  <w:footnote w:id="164">
    <w:p w14:paraId="19FD1F64" w14:textId="1F5AACBF" w:rsidR="00A02457" w:rsidRDefault="00526D0C" w:rsidP="00A02457">
      <w:pPr>
        <w:pStyle w:val="FootnoteText"/>
      </w:pPr>
      <w:r w:rsidRPr="00526D0C">
        <w:rPr>
          <w:rStyle w:val="FootnoteReference"/>
          <w:vertAlign w:val="baseline"/>
        </w:rPr>
        <w:footnoteRef/>
      </w:r>
      <w:r w:rsidR="00A02457">
        <w:t xml:space="preserve"> </w:t>
      </w:r>
      <w:r w:rsidR="00422489">
        <w:tab/>
      </w:r>
      <w:r w:rsidR="00A02457">
        <w:rPr>
          <w:rFonts w:cstheme="minorHAnsi"/>
          <w:szCs w:val="22"/>
        </w:rPr>
        <w:t xml:space="preserve">ASIC, </w:t>
      </w:r>
      <w:r w:rsidR="00A02457" w:rsidRPr="00B54023">
        <w:rPr>
          <w:rFonts w:cstheme="minorHAnsi"/>
          <w:szCs w:val="22"/>
        </w:rPr>
        <w:t>Material supplied to th</w:t>
      </w:r>
      <w:r w:rsidR="00B94304" w:rsidRPr="00B54023">
        <w:rPr>
          <w:rFonts w:cstheme="minorHAnsi"/>
          <w:szCs w:val="22"/>
        </w:rPr>
        <w:t>is</w:t>
      </w:r>
      <w:r w:rsidR="00A02457" w:rsidRPr="00B54023">
        <w:rPr>
          <w:rFonts w:cstheme="minorHAnsi"/>
          <w:szCs w:val="22"/>
        </w:rPr>
        <w:t xml:space="preserve"> </w:t>
      </w:r>
      <w:r w:rsidR="00FF1551">
        <w:rPr>
          <w:rFonts w:cstheme="minorHAnsi"/>
          <w:szCs w:val="22"/>
        </w:rPr>
        <w:t>r</w:t>
      </w:r>
      <w:r w:rsidR="00A02457" w:rsidRPr="00B54023">
        <w:rPr>
          <w:rFonts w:cstheme="minorHAnsi"/>
          <w:szCs w:val="22"/>
        </w:rPr>
        <w:t>eview</w:t>
      </w:r>
      <w:r w:rsidR="00B94304" w:rsidRPr="00B54023">
        <w:rPr>
          <w:rFonts w:cstheme="minorHAnsi"/>
          <w:szCs w:val="22"/>
        </w:rPr>
        <w:t>,</w:t>
      </w:r>
      <w:r w:rsidR="00B94304">
        <w:rPr>
          <w:rFonts w:cstheme="minorHAnsi"/>
          <w:i/>
          <w:iCs/>
          <w:szCs w:val="22"/>
        </w:rPr>
        <w:t xml:space="preserve"> </w:t>
      </w:r>
      <w:r w:rsidR="00B94304">
        <w:rPr>
          <w:rFonts w:cstheme="minorHAnsi"/>
          <w:szCs w:val="22"/>
        </w:rPr>
        <w:t>2022</w:t>
      </w:r>
      <w:r w:rsidR="00A02457">
        <w:rPr>
          <w:rFonts w:cstheme="minorHAnsi"/>
          <w:szCs w:val="22"/>
        </w:rPr>
        <w:t>.</w:t>
      </w:r>
      <w:r w:rsidR="00A02457">
        <w:rPr>
          <w:rFonts w:cstheme="minorHAnsi"/>
          <w:i/>
          <w:iCs/>
          <w:szCs w:val="22"/>
        </w:rPr>
        <w:t xml:space="preserve"> </w:t>
      </w:r>
    </w:p>
  </w:footnote>
  <w:footnote w:id="165">
    <w:p w14:paraId="1EAA1067" w14:textId="1F8CC8B9"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Confidential interview, validated by other confidential interviews. </w:t>
      </w:r>
    </w:p>
  </w:footnote>
  <w:footnote w:id="166">
    <w:p w14:paraId="7D44076C" w14:textId="2D1EBAB0" w:rsidR="00A02457" w:rsidRDefault="00526D0C" w:rsidP="00A02457">
      <w:pPr>
        <w:pStyle w:val="FootnoteText"/>
      </w:pPr>
      <w:r w:rsidRPr="00526D0C">
        <w:rPr>
          <w:rStyle w:val="FootnoteReference"/>
          <w:vertAlign w:val="baseline"/>
        </w:rPr>
        <w:footnoteRef/>
      </w:r>
      <w:r w:rsidR="00A02457">
        <w:t xml:space="preserve"> </w:t>
      </w:r>
      <w:r w:rsidR="00422489">
        <w:tab/>
      </w:r>
      <w:r w:rsidR="00A02457">
        <w:t>Confidential interviews, stakeholder survey free</w:t>
      </w:r>
      <w:r w:rsidR="00EF40B0">
        <w:noBreakHyphen/>
      </w:r>
      <w:r w:rsidR="00A02457">
        <w:t>text comments, confidential submission</w:t>
      </w:r>
      <w:r w:rsidR="00C606AD">
        <w:t xml:space="preserve">. </w:t>
      </w:r>
      <w:r w:rsidR="00741CEA">
        <w:t xml:space="preserve">The FRAA acknowledges that the licensing regime is governed by the </w:t>
      </w:r>
      <w:r w:rsidR="00741CEA" w:rsidRPr="00B54023">
        <w:t xml:space="preserve">Corporations Act </w:t>
      </w:r>
      <w:r w:rsidR="00741CEA">
        <w:t xml:space="preserve">and </w:t>
      </w:r>
      <w:r w:rsidR="00E61DC0">
        <w:t>NCCP</w:t>
      </w:r>
      <w:r w:rsidR="00741CEA" w:rsidRPr="00B54023">
        <w:t xml:space="preserve"> Act</w:t>
      </w:r>
      <w:r w:rsidR="00741CEA">
        <w:rPr>
          <w:i/>
          <w:iCs/>
        </w:rPr>
        <w:t xml:space="preserve">, </w:t>
      </w:r>
      <w:r w:rsidR="00741CEA">
        <w:t xml:space="preserve">and if an innovative </w:t>
      </w:r>
      <w:r w:rsidR="004E1A47">
        <w:t>product does not fall within the definition of a financial product or service</w:t>
      </w:r>
      <w:r w:rsidR="00B94304">
        <w:t>, or credit activity, set out in the legislation or regulations, ASIC cannot licen</w:t>
      </w:r>
      <w:r w:rsidR="005A19B5">
        <w:t>s</w:t>
      </w:r>
      <w:r w:rsidR="00B94304">
        <w:t>e the provision of the product, service or activity.</w:t>
      </w:r>
    </w:p>
  </w:footnote>
  <w:footnote w:id="167">
    <w:p w14:paraId="35DDA96E" w14:textId="25CEFA9E"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Confidential interview. </w:t>
      </w:r>
    </w:p>
  </w:footnote>
  <w:footnote w:id="168">
    <w:p w14:paraId="13B9A9B8" w14:textId="00827AD3" w:rsidR="00A02457" w:rsidRPr="00D048AB"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ASIC, </w:t>
      </w:r>
      <w:r w:rsidR="00A02457" w:rsidRPr="00B54023">
        <w:t>Material supplied to th</w:t>
      </w:r>
      <w:r w:rsidR="005D5827" w:rsidRPr="00B54023">
        <w:t>is</w:t>
      </w:r>
      <w:r w:rsidR="00A02457" w:rsidRPr="00B54023">
        <w:t xml:space="preserve"> </w:t>
      </w:r>
      <w:r w:rsidR="00FF1551" w:rsidRPr="00B54023">
        <w:t>r</w:t>
      </w:r>
      <w:r w:rsidR="00A02457" w:rsidRPr="00B54023">
        <w:t>eview</w:t>
      </w:r>
      <w:r w:rsidR="005D5827">
        <w:t>, 2022</w:t>
      </w:r>
      <w:r w:rsidR="002025C6">
        <w:t>.</w:t>
      </w:r>
      <w:r w:rsidR="00A02457">
        <w:t xml:space="preserve"> There were 1,965 AFSL and ACL applications approved, refused/withdrawn/rejected, cancelled/suspended</w:t>
      </w:r>
      <w:r w:rsidR="001A1CBE">
        <w:t xml:space="preserve">. </w:t>
      </w:r>
    </w:p>
  </w:footnote>
  <w:footnote w:id="169">
    <w:p w14:paraId="54B0B9A1" w14:textId="5BA3FB05"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It is acknowledged that ASIC has a different mandate to a business. </w:t>
      </w:r>
    </w:p>
  </w:footnote>
  <w:footnote w:id="170">
    <w:p w14:paraId="74171ACF" w14:textId="5D461285" w:rsidR="005D3972" w:rsidRPr="005D3972" w:rsidRDefault="00526D0C">
      <w:pPr>
        <w:pStyle w:val="FootnoteText"/>
      </w:pPr>
      <w:r w:rsidRPr="00526D0C">
        <w:rPr>
          <w:rStyle w:val="FootnoteReference"/>
          <w:vertAlign w:val="baseline"/>
        </w:rPr>
        <w:footnoteRef/>
      </w:r>
      <w:r w:rsidR="005D3972" w:rsidRPr="005D3972">
        <w:t xml:space="preserve"> </w:t>
      </w:r>
      <w:r w:rsidR="006245EE">
        <w:tab/>
      </w:r>
      <w:r w:rsidR="00C80736">
        <w:t>ATO</w:t>
      </w:r>
      <w:r w:rsidR="00455A94">
        <w:t xml:space="preserve"> R</w:t>
      </w:r>
      <w:r w:rsidR="00B748F2">
        <w:t xml:space="preserve">einvention </w:t>
      </w:r>
      <w:r w:rsidR="00455A94">
        <w:t>program</w:t>
      </w:r>
      <w:r w:rsidR="00B27DAC">
        <w:t>;</w:t>
      </w:r>
      <w:r w:rsidR="00455A94">
        <w:t xml:space="preserve"> </w:t>
      </w:r>
      <w:r w:rsidR="00B748F2">
        <w:t xml:space="preserve">Service NSW </w:t>
      </w:r>
      <w:r w:rsidR="00455A94">
        <w:t xml:space="preserve">was </w:t>
      </w:r>
      <w:r w:rsidR="00B748F2">
        <w:t xml:space="preserve">recognised for customer service in 2021 </w:t>
      </w:r>
      <w:r w:rsidR="00B27DAC">
        <w:t xml:space="preserve">by the </w:t>
      </w:r>
      <w:r w:rsidR="00B748F2">
        <w:t>Customer Service Institute of Australia awards</w:t>
      </w:r>
      <w:r w:rsidR="00B27DAC">
        <w:t>.</w:t>
      </w:r>
    </w:p>
  </w:footnote>
  <w:footnote w:id="171">
    <w:p w14:paraId="1ACE41C3" w14:textId="0A08D159" w:rsidR="00A02457" w:rsidRDefault="00526D0C" w:rsidP="00422489">
      <w:pPr>
        <w:pStyle w:val="FootnoteText"/>
      </w:pPr>
      <w:r w:rsidRPr="00526D0C">
        <w:rPr>
          <w:rStyle w:val="FootnoteReference"/>
          <w:vertAlign w:val="baseline"/>
        </w:rPr>
        <w:footnoteRef/>
      </w:r>
      <w:r w:rsidR="00A02457">
        <w:t xml:space="preserve"> </w:t>
      </w:r>
      <w:r w:rsidR="00422489">
        <w:tab/>
      </w:r>
      <w:r w:rsidR="00A02457">
        <w:t xml:space="preserve">The bank uses a </w:t>
      </w:r>
      <w:r w:rsidR="00EF40B0">
        <w:t>‘</w:t>
      </w:r>
      <w:r w:rsidR="00A02457">
        <w:t>stop the clock</w:t>
      </w:r>
      <w:r w:rsidR="00EF40B0">
        <w:t>’</w:t>
      </w:r>
      <w:r w:rsidR="00A02457">
        <w:t xml:space="preserve"> method to assess timeframes. ASIC measures total elapsed time</w:t>
      </w:r>
      <w:r w:rsidR="001A1CBE">
        <w:t xml:space="preserve">. </w:t>
      </w:r>
    </w:p>
  </w:footnote>
  <w:footnote w:id="172">
    <w:p w14:paraId="75BD9B5F" w14:textId="768DE583"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ASIC, </w:t>
      </w:r>
      <w:r w:rsidR="00A02457" w:rsidRPr="00B54023">
        <w:t>Material supplied to th</w:t>
      </w:r>
      <w:r w:rsidR="005D5827" w:rsidRPr="00B54023">
        <w:t>is</w:t>
      </w:r>
      <w:r w:rsidR="00A02457" w:rsidRPr="00B54023">
        <w:t xml:space="preserve"> </w:t>
      </w:r>
      <w:r w:rsidR="00FF1551" w:rsidRPr="00B54023">
        <w:t>r</w:t>
      </w:r>
      <w:r w:rsidR="00A02457" w:rsidRPr="00B54023">
        <w:t>eview</w:t>
      </w:r>
      <w:r w:rsidR="00494398">
        <w:t>, 2021</w:t>
      </w:r>
      <w:r w:rsidR="00500E41">
        <w:t>.</w:t>
      </w:r>
      <w:r w:rsidR="00A02457">
        <w:t xml:space="preserve"> </w:t>
      </w:r>
      <w:r w:rsidR="00500E41">
        <w:t>T</w:t>
      </w:r>
      <w:r w:rsidR="00A02457">
        <w:t xml:space="preserve">he 118 days is the average days to finalisation for green risk rated applications for </w:t>
      </w:r>
      <w:r w:rsidR="00C315E4">
        <w:t>20</w:t>
      </w:r>
      <w:r w:rsidR="00A02457">
        <w:t>20</w:t>
      </w:r>
      <w:r w:rsidR="00C315E4">
        <w:t>–</w:t>
      </w:r>
      <w:r w:rsidR="00A02457">
        <w:t>21. ASIC measures total elapsed time. The 118</w:t>
      </w:r>
      <w:r w:rsidR="00EF40B0">
        <w:noBreakHyphen/>
      </w:r>
      <w:r w:rsidR="00A02457">
        <w:t>day timeframe is inclusive of the time taken to retrieve missing or additional documents</w:t>
      </w:r>
      <w:r w:rsidR="001A1CBE">
        <w:t>.</w:t>
      </w:r>
    </w:p>
  </w:footnote>
  <w:footnote w:id="173">
    <w:p w14:paraId="05FE7AEF" w14:textId="5726C3BB" w:rsidR="00A02457" w:rsidRDefault="00526D0C" w:rsidP="00A02457">
      <w:pPr>
        <w:pStyle w:val="FootnoteText"/>
      </w:pPr>
      <w:r w:rsidRPr="00526D0C">
        <w:rPr>
          <w:rStyle w:val="FootnoteReference"/>
          <w:vertAlign w:val="baseline"/>
        </w:rPr>
        <w:footnoteRef/>
      </w:r>
      <w:r w:rsidR="00A02457">
        <w:t xml:space="preserve"> </w:t>
      </w:r>
      <w:r w:rsidR="00422489">
        <w:tab/>
      </w:r>
      <w:r w:rsidR="00A02457">
        <w:t>S</w:t>
      </w:r>
      <w:r w:rsidR="00C601A3">
        <w:t>ervice</w:t>
      </w:r>
      <w:r w:rsidR="00EF40B0">
        <w:noBreakHyphen/>
      </w:r>
      <w:r w:rsidR="00A02457">
        <w:t>level agreement is the bank</w:t>
      </w:r>
      <w:r w:rsidR="00EF40B0">
        <w:t>’</w:t>
      </w:r>
      <w:r w:rsidR="00A02457">
        <w:t xml:space="preserve">s target to provide customers a decision within 2 business days of them submitting a completed application. </w:t>
      </w:r>
    </w:p>
  </w:footnote>
  <w:footnote w:id="174">
    <w:p w14:paraId="0EBEDA33" w14:textId="234D0CE6"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Law Council of Australia, confidential interviews, stakeholder survey, staff survey. </w:t>
      </w:r>
    </w:p>
  </w:footnote>
  <w:footnote w:id="175">
    <w:p w14:paraId="4AC592EB" w14:textId="785B3E83" w:rsidR="00A02457" w:rsidRDefault="00526D0C" w:rsidP="00A02457">
      <w:pPr>
        <w:pStyle w:val="FootnoteText"/>
      </w:pPr>
      <w:r w:rsidRPr="00526D0C">
        <w:rPr>
          <w:rStyle w:val="FootnoteReference"/>
          <w:vertAlign w:val="baseline"/>
        </w:rPr>
        <w:footnoteRef/>
      </w:r>
      <w:r w:rsidR="00A02457">
        <w:t xml:space="preserve"> </w:t>
      </w:r>
      <w:r w:rsidR="00422489">
        <w:tab/>
      </w:r>
      <w:r w:rsidR="00A02457">
        <w:rPr>
          <w:rFonts w:cstheme="minorHAnsi"/>
          <w:szCs w:val="22"/>
        </w:rPr>
        <w:t xml:space="preserve">ASIC, </w:t>
      </w:r>
      <w:r w:rsidR="00A02457" w:rsidRPr="00140678">
        <w:rPr>
          <w:rFonts w:cstheme="minorHAnsi"/>
          <w:szCs w:val="22"/>
        </w:rPr>
        <w:t>Material supplied to th</w:t>
      </w:r>
      <w:r w:rsidR="00A465B3" w:rsidRPr="00140678">
        <w:rPr>
          <w:rFonts w:cstheme="minorHAnsi"/>
          <w:szCs w:val="22"/>
        </w:rPr>
        <w:t>is</w:t>
      </w:r>
      <w:r w:rsidR="00A02457" w:rsidRPr="00140678">
        <w:rPr>
          <w:rFonts w:cstheme="minorHAnsi"/>
          <w:szCs w:val="22"/>
        </w:rPr>
        <w:t xml:space="preserve"> </w:t>
      </w:r>
      <w:r w:rsidR="00FF1551" w:rsidRPr="00140678">
        <w:rPr>
          <w:rFonts w:cstheme="minorHAnsi"/>
          <w:szCs w:val="22"/>
        </w:rPr>
        <w:t>r</w:t>
      </w:r>
      <w:r w:rsidR="00A02457" w:rsidRPr="00140678">
        <w:rPr>
          <w:rFonts w:cstheme="minorHAnsi"/>
          <w:szCs w:val="22"/>
        </w:rPr>
        <w:t>eview</w:t>
      </w:r>
      <w:r w:rsidR="00A02457">
        <w:rPr>
          <w:rFonts w:cstheme="minorHAnsi"/>
          <w:szCs w:val="22"/>
        </w:rPr>
        <w:t xml:space="preserve">, </w:t>
      </w:r>
      <w:r w:rsidR="00A465B3">
        <w:rPr>
          <w:rFonts w:cstheme="minorHAnsi"/>
          <w:szCs w:val="22"/>
        </w:rPr>
        <w:t>2022</w:t>
      </w:r>
      <w:r w:rsidR="004E1ED3">
        <w:rPr>
          <w:rFonts w:cstheme="minorHAnsi"/>
          <w:szCs w:val="22"/>
        </w:rPr>
        <w:t>.</w:t>
      </w:r>
      <w:r w:rsidR="00A465B3">
        <w:rPr>
          <w:rFonts w:cstheme="minorHAnsi"/>
          <w:szCs w:val="22"/>
        </w:rPr>
        <w:t xml:space="preserve"> </w:t>
      </w:r>
      <w:r w:rsidR="004E1ED3">
        <w:rPr>
          <w:rFonts w:cstheme="minorHAnsi"/>
          <w:szCs w:val="22"/>
        </w:rPr>
        <w:t>C</w:t>
      </w:r>
      <w:r w:rsidR="00A02457">
        <w:rPr>
          <w:rFonts w:cstheme="minorHAnsi"/>
          <w:szCs w:val="22"/>
        </w:rPr>
        <w:t xml:space="preserve">ommissioner and </w:t>
      </w:r>
      <w:r w:rsidR="00A02457">
        <w:t xml:space="preserve">executive director interviews. </w:t>
      </w:r>
    </w:p>
  </w:footnote>
  <w:footnote w:id="176">
    <w:p w14:paraId="18A22AA6" w14:textId="02578C26" w:rsidR="00181DCA" w:rsidRDefault="00526D0C" w:rsidP="00181DCA">
      <w:pPr>
        <w:pStyle w:val="FootnoteText"/>
      </w:pPr>
      <w:r w:rsidRPr="00526D0C">
        <w:rPr>
          <w:rStyle w:val="FootnoteReference"/>
          <w:vertAlign w:val="baseline"/>
        </w:rPr>
        <w:footnoteRef/>
      </w:r>
      <w:r w:rsidR="00A02457">
        <w:t xml:space="preserve"> </w:t>
      </w:r>
      <w:r w:rsidR="00422489">
        <w:tab/>
      </w:r>
      <w:r w:rsidR="00A02457">
        <w:t xml:space="preserve">Confidential interview. </w:t>
      </w:r>
    </w:p>
  </w:footnote>
  <w:footnote w:id="177">
    <w:p w14:paraId="204ADDA6" w14:textId="1F92687B"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Interviews with senior ASIC executives. </w:t>
      </w:r>
    </w:p>
  </w:footnote>
  <w:footnote w:id="178">
    <w:p w14:paraId="7325FDBF" w14:textId="1DF7E849" w:rsidR="00A02457" w:rsidRDefault="00526D0C" w:rsidP="00A02457">
      <w:pPr>
        <w:pStyle w:val="FootnoteText"/>
      </w:pPr>
      <w:r w:rsidRPr="00526D0C">
        <w:rPr>
          <w:rStyle w:val="FootnoteReference"/>
          <w:vertAlign w:val="baseline"/>
        </w:rPr>
        <w:footnoteRef/>
      </w:r>
      <w:r w:rsidR="00A02457">
        <w:t xml:space="preserve"> </w:t>
      </w:r>
      <w:r w:rsidR="00422489">
        <w:tab/>
      </w:r>
      <w:r w:rsidR="00A02457">
        <w:t>Changes to the point</w:t>
      </w:r>
      <w:r w:rsidR="00EF40B0">
        <w:noBreakHyphen/>
      </w:r>
      <w:r w:rsidR="00A02457">
        <w:t>in</w:t>
      </w:r>
      <w:r w:rsidR="00EF40B0">
        <w:noBreakHyphen/>
      </w:r>
      <w:r w:rsidR="00A02457">
        <w:t xml:space="preserve">time assessment would require law reform. </w:t>
      </w:r>
    </w:p>
  </w:footnote>
  <w:footnote w:id="179">
    <w:p w14:paraId="13847D6E" w14:textId="006C34DB"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Interviews with senior ASIC executives. </w:t>
      </w:r>
    </w:p>
  </w:footnote>
  <w:footnote w:id="180">
    <w:p w14:paraId="5CCC8DF2" w14:textId="02F4968B" w:rsidR="00A02457" w:rsidRDefault="00526D0C" w:rsidP="00A02457">
      <w:pPr>
        <w:pStyle w:val="FootnoteText"/>
      </w:pPr>
      <w:r w:rsidRPr="00526D0C">
        <w:rPr>
          <w:rStyle w:val="FootnoteReference"/>
          <w:vertAlign w:val="baseline"/>
        </w:rPr>
        <w:footnoteRef/>
      </w:r>
      <w:r w:rsidR="00A02457">
        <w:t xml:space="preserve"> </w:t>
      </w:r>
      <w:r w:rsidR="00422489">
        <w:tab/>
      </w:r>
      <w:r w:rsidR="00A02457">
        <w:t>Stakeholder survey free</w:t>
      </w:r>
      <w:r w:rsidR="00EF40B0">
        <w:noBreakHyphen/>
      </w:r>
      <w:r w:rsidR="00A02457">
        <w:t xml:space="preserve">text comments, confidential interviews. </w:t>
      </w:r>
    </w:p>
  </w:footnote>
  <w:footnote w:id="181">
    <w:p w14:paraId="2E6E6477" w14:textId="560BDA87"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Similarly, </w:t>
      </w:r>
      <w:r w:rsidR="00B21A0B">
        <w:t>it</w:t>
      </w:r>
      <w:r w:rsidR="00A02457" w:rsidRPr="00140678">
        <w:t xml:space="preserve"> is easy to communicate with members of ASIC</w:t>
      </w:r>
      <w:r w:rsidR="00EF40B0">
        <w:t>’</w:t>
      </w:r>
      <w:r w:rsidR="00A02457" w:rsidRPr="00140678">
        <w:t>s licensing team throughout the assessment process when I need to</w:t>
      </w:r>
      <w:r w:rsidR="00A02457">
        <w:t xml:space="preserve">: 31% agreed, 30% disagreed and the remainder neutral. </w:t>
      </w:r>
    </w:p>
  </w:footnote>
  <w:footnote w:id="182">
    <w:p w14:paraId="5C11041E" w14:textId="00DE7D8A" w:rsidR="00A02457" w:rsidRDefault="00526D0C" w:rsidP="00A02457">
      <w:pPr>
        <w:pStyle w:val="FootnoteText"/>
      </w:pPr>
      <w:r w:rsidRPr="00526D0C">
        <w:rPr>
          <w:rStyle w:val="FootnoteReference"/>
          <w:vertAlign w:val="baseline"/>
        </w:rPr>
        <w:footnoteRef/>
      </w:r>
      <w:r w:rsidR="00A02457">
        <w:t xml:space="preserve"> </w:t>
      </w:r>
      <w:r w:rsidR="00422489">
        <w:tab/>
      </w:r>
      <w:r w:rsidR="00A02457">
        <w:rPr>
          <w:rFonts w:cstheme="minorHAnsi"/>
          <w:szCs w:val="22"/>
        </w:rPr>
        <w:t xml:space="preserve">ASIC, </w:t>
      </w:r>
      <w:r w:rsidR="00A02457" w:rsidRPr="00140678">
        <w:rPr>
          <w:rFonts w:cstheme="minorHAnsi"/>
          <w:szCs w:val="22"/>
        </w:rPr>
        <w:t>Material supplied to th</w:t>
      </w:r>
      <w:r w:rsidR="00F3132C" w:rsidRPr="00140678">
        <w:rPr>
          <w:rFonts w:cstheme="minorHAnsi"/>
          <w:szCs w:val="22"/>
        </w:rPr>
        <w:t>is</w:t>
      </w:r>
      <w:r w:rsidR="00A02457" w:rsidRPr="00140678">
        <w:rPr>
          <w:rFonts w:cstheme="minorHAnsi"/>
          <w:szCs w:val="22"/>
        </w:rPr>
        <w:t xml:space="preserve"> </w:t>
      </w:r>
      <w:r w:rsidR="00975977" w:rsidRPr="00140678">
        <w:rPr>
          <w:rFonts w:cstheme="minorHAnsi"/>
          <w:szCs w:val="22"/>
        </w:rPr>
        <w:t>r</w:t>
      </w:r>
      <w:r w:rsidR="00A02457" w:rsidRPr="00140678">
        <w:rPr>
          <w:rFonts w:cstheme="minorHAnsi"/>
          <w:szCs w:val="22"/>
        </w:rPr>
        <w:t>eview</w:t>
      </w:r>
      <w:r w:rsidR="00F3132C">
        <w:rPr>
          <w:rFonts w:cstheme="minorHAnsi"/>
          <w:szCs w:val="22"/>
        </w:rPr>
        <w:t>, 2022</w:t>
      </w:r>
      <w:r w:rsidR="00EF40B0">
        <w:rPr>
          <w:rFonts w:cstheme="minorHAnsi"/>
          <w:i/>
          <w:iCs/>
          <w:szCs w:val="22"/>
        </w:rPr>
        <w:t xml:space="preserve">. </w:t>
      </w:r>
      <w:r w:rsidR="00A02457" w:rsidRPr="00D45FE2">
        <w:rPr>
          <w:rFonts w:cstheme="minorHAnsi"/>
          <w:szCs w:val="22"/>
        </w:rPr>
        <w:t xml:space="preserve"> </w:t>
      </w:r>
    </w:p>
  </w:footnote>
  <w:footnote w:id="183">
    <w:p w14:paraId="13D7D967" w14:textId="1CDB77B7" w:rsidR="00A02457" w:rsidRDefault="00526D0C" w:rsidP="00A02457">
      <w:pPr>
        <w:pStyle w:val="FootnoteText"/>
      </w:pPr>
      <w:r w:rsidRPr="00526D0C">
        <w:rPr>
          <w:rStyle w:val="FootnoteReference"/>
          <w:vertAlign w:val="baseline"/>
        </w:rPr>
        <w:footnoteRef/>
      </w:r>
      <w:r w:rsidR="00A02457">
        <w:rPr>
          <w:rFonts w:cstheme="minorHAnsi"/>
          <w:szCs w:val="22"/>
        </w:rPr>
        <w:t xml:space="preserve"> </w:t>
      </w:r>
      <w:r w:rsidR="00422489">
        <w:rPr>
          <w:rFonts w:cstheme="minorHAnsi"/>
          <w:szCs w:val="22"/>
        </w:rPr>
        <w:tab/>
      </w:r>
      <w:r w:rsidR="00A02457">
        <w:rPr>
          <w:rFonts w:cstheme="minorHAnsi"/>
          <w:szCs w:val="22"/>
        </w:rPr>
        <w:t xml:space="preserve">ASIC, </w:t>
      </w:r>
      <w:r w:rsidR="00A02457" w:rsidRPr="00BE16B3">
        <w:rPr>
          <w:rFonts w:cstheme="minorHAnsi"/>
          <w:szCs w:val="22"/>
        </w:rPr>
        <w:t>Material supplied to th</w:t>
      </w:r>
      <w:r w:rsidR="00F3132C" w:rsidRPr="00BE16B3">
        <w:rPr>
          <w:rFonts w:cstheme="minorHAnsi"/>
          <w:szCs w:val="22"/>
        </w:rPr>
        <w:t>is</w:t>
      </w:r>
      <w:r w:rsidR="00A02457" w:rsidRPr="00BE16B3">
        <w:rPr>
          <w:rFonts w:cstheme="minorHAnsi"/>
          <w:szCs w:val="22"/>
        </w:rPr>
        <w:t xml:space="preserve"> </w:t>
      </w:r>
      <w:r w:rsidR="00975977" w:rsidRPr="00BE16B3">
        <w:rPr>
          <w:rFonts w:cstheme="minorHAnsi"/>
          <w:szCs w:val="22"/>
        </w:rPr>
        <w:t>r</w:t>
      </w:r>
      <w:r w:rsidR="00A02457" w:rsidRPr="00BE16B3">
        <w:rPr>
          <w:rFonts w:cstheme="minorHAnsi"/>
          <w:szCs w:val="22"/>
        </w:rPr>
        <w:t>eview</w:t>
      </w:r>
      <w:r w:rsidR="00F3132C">
        <w:rPr>
          <w:rFonts w:cstheme="minorHAnsi"/>
          <w:i/>
          <w:iCs/>
          <w:szCs w:val="22"/>
        </w:rPr>
        <w:t xml:space="preserve">, </w:t>
      </w:r>
      <w:r w:rsidR="00F3132C">
        <w:rPr>
          <w:rFonts w:cstheme="minorHAnsi"/>
          <w:szCs w:val="22"/>
        </w:rPr>
        <w:t>2022</w:t>
      </w:r>
      <w:r w:rsidR="003435FA">
        <w:rPr>
          <w:rFonts w:cstheme="minorHAnsi"/>
          <w:szCs w:val="22"/>
        </w:rPr>
        <w:t>. T</w:t>
      </w:r>
      <w:r w:rsidR="00A02457">
        <w:t xml:space="preserve">he rationale for written communication is </w:t>
      </w:r>
      <w:r w:rsidR="00A02457">
        <w:rPr>
          <w:rFonts w:eastAsiaTheme="minorEastAsia"/>
        </w:rPr>
        <w:t xml:space="preserve">to manage risk and </w:t>
      </w:r>
      <w:r w:rsidR="00A02457" w:rsidRPr="497B9425">
        <w:rPr>
          <w:rFonts w:eastAsiaTheme="minorEastAsia"/>
        </w:rPr>
        <w:t>record keeping purposes to document procedural fairness</w:t>
      </w:r>
      <w:r w:rsidR="00A02457">
        <w:rPr>
          <w:rFonts w:eastAsiaTheme="minorEastAsia"/>
        </w:rPr>
        <w:t xml:space="preserve">. </w:t>
      </w:r>
    </w:p>
  </w:footnote>
  <w:footnote w:id="184">
    <w:p w14:paraId="5ABC0A7A" w14:textId="70767DC4"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Law Council of Australia, confidential interviews. </w:t>
      </w:r>
    </w:p>
  </w:footnote>
  <w:footnote w:id="185">
    <w:p w14:paraId="7AEABDCA" w14:textId="6680D206"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Confidential interview. </w:t>
      </w:r>
    </w:p>
  </w:footnote>
  <w:footnote w:id="186">
    <w:p w14:paraId="1A7FD590" w14:textId="1D1CD8FB"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Confidential interview, interview with chair of Digital Finance Advisory Panel. Since introduction in 2015, the Innovation Hub has provided informal assistance and guidance to 677 </w:t>
      </w:r>
      <w:r w:rsidR="00920FC8">
        <w:t>f</w:t>
      </w:r>
      <w:r w:rsidR="00A02457">
        <w:t>in</w:t>
      </w:r>
      <w:r w:rsidR="00920FC8">
        <w:t>t</w:t>
      </w:r>
      <w:r w:rsidR="00A02457">
        <w:t xml:space="preserve">ech and </w:t>
      </w:r>
      <w:r w:rsidR="002E005B">
        <w:t>r</w:t>
      </w:r>
      <w:r w:rsidR="00A02457">
        <w:t>eg</w:t>
      </w:r>
      <w:r w:rsidR="00920FC8">
        <w:t>t</w:t>
      </w:r>
      <w:r w:rsidR="00A02457">
        <w:t>ech organisations.</w:t>
      </w:r>
    </w:p>
  </w:footnote>
  <w:footnote w:id="187">
    <w:p w14:paraId="3530AD6F" w14:textId="4EAE136F" w:rsidR="00A02457" w:rsidRDefault="00526D0C" w:rsidP="00A02457">
      <w:pPr>
        <w:pStyle w:val="FootnoteText"/>
      </w:pPr>
      <w:r w:rsidRPr="00526D0C">
        <w:rPr>
          <w:rStyle w:val="FootnoteReference"/>
          <w:vertAlign w:val="baseline"/>
        </w:rPr>
        <w:footnoteRef/>
      </w:r>
      <w:r w:rsidR="00A02457">
        <w:t xml:space="preserve"> </w:t>
      </w:r>
      <w:r w:rsidR="00422489">
        <w:tab/>
      </w:r>
      <w:r w:rsidR="00A02457">
        <w:rPr>
          <w:rFonts w:cstheme="minorHAnsi"/>
          <w:szCs w:val="22"/>
        </w:rPr>
        <w:t xml:space="preserve">ASIC, </w:t>
      </w:r>
      <w:r w:rsidR="00A02457" w:rsidRPr="00BE16B3">
        <w:rPr>
          <w:rFonts w:cstheme="minorHAnsi"/>
          <w:szCs w:val="22"/>
        </w:rPr>
        <w:t>Material supplied to th</w:t>
      </w:r>
      <w:r w:rsidR="00FA145A" w:rsidRPr="00BE16B3">
        <w:rPr>
          <w:rFonts w:cstheme="minorHAnsi"/>
          <w:szCs w:val="22"/>
        </w:rPr>
        <w:t>is</w:t>
      </w:r>
      <w:r w:rsidR="00A02457" w:rsidRPr="00BE16B3">
        <w:rPr>
          <w:rFonts w:cstheme="minorHAnsi"/>
          <w:szCs w:val="22"/>
        </w:rPr>
        <w:t xml:space="preserve"> </w:t>
      </w:r>
      <w:r w:rsidR="00975977" w:rsidRPr="00BE16B3">
        <w:rPr>
          <w:rFonts w:cstheme="minorHAnsi"/>
          <w:szCs w:val="22"/>
        </w:rPr>
        <w:t>r</w:t>
      </w:r>
      <w:r w:rsidR="00A02457" w:rsidRPr="00BE16B3">
        <w:rPr>
          <w:rFonts w:cstheme="minorHAnsi"/>
          <w:szCs w:val="22"/>
        </w:rPr>
        <w:t>eview</w:t>
      </w:r>
      <w:r w:rsidR="00FA145A">
        <w:rPr>
          <w:rFonts w:cstheme="minorHAnsi"/>
          <w:szCs w:val="22"/>
        </w:rPr>
        <w:t>, 2022</w:t>
      </w:r>
      <w:r w:rsidR="00A02457">
        <w:rPr>
          <w:rFonts w:cstheme="minorHAnsi"/>
          <w:szCs w:val="22"/>
        </w:rPr>
        <w:t xml:space="preserve">. </w:t>
      </w:r>
    </w:p>
  </w:footnote>
  <w:footnote w:id="188">
    <w:p w14:paraId="277A570A" w14:textId="598B1A47"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Interviews are not part of the licensing process. </w:t>
      </w:r>
    </w:p>
  </w:footnote>
  <w:footnote w:id="189">
    <w:p w14:paraId="1B69DAB3" w14:textId="5729AC03" w:rsidR="00A02457" w:rsidRDefault="00526D0C" w:rsidP="00A02457">
      <w:pPr>
        <w:pStyle w:val="FootnoteText"/>
      </w:pPr>
      <w:r w:rsidRPr="00526D0C">
        <w:rPr>
          <w:rStyle w:val="FootnoteReference"/>
          <w:vertAlign w:val="baseline"/>
        </w:rPr>
        <w:footnoteRef/>
      </w:r>
      <w:r w:rsidR="00A02457">
        <w:t xml:space="preserve"> </w:t>
      </w:r>
      <w:r w:rsidR="00422489">
        <w:tab/>
      </w:r>
      <w:r w:rsidR="00A02457">
        <w:t>The stakeholder noted unplanned interviews or verbal discussions did not mean that applicants could not defer to responding at a later date, waive their right to seeking advice or providing a more comprehensive written response. The comment was made in reference to answering what should be basic competency questions, if the applicant was competent, it would not be a problem</w:t>
      </w:r>
      <w:r w:rsidR="001A1CBE">
        <w:t xml:space="preserve">. </w:t>
      </w:r>
    </w:p>
  </w:footnote>
  <w:footnote w:id="190">
    <w:p w14:paraId="46F7C41E" w14:textId="382EFEFF" w:rsidR="00A02457" w:rsidRDefault="00526D0C" w:rsidP="00A02457">
      <w:pPr>
        <w:pStyle w:val="FootnoteText"/>
      </w:pPr>
      <w:r w:rsidRPr="00526D0C">
        <w:rPr>
          <w:rStyle w:val="FootnoteReference"/>
          <w:vertAlign w:val="baseline"/>
        </w:rPr>
        <w:footnoteRef/>
      </w:r>
      <w:r w:rsidR="00A02457">
        <w:t xml:space="preserve"> </w:t>
      </w:r>
      <w:r w:rsidR="00422489">
        <w:tab/>
      </w:r>
      <w:r w:rsidR="00A02457">
        <w:t>Confidential interview. Note it</w:t>
      </w:r>
      <w:r w:rsidR="00A02457" w:rsidDel="006A06E3">
        <w:t xml:space="preserve"> </w:t>
      </w:r>
      <w:r w:rsidR="00A02457">
        <w:t>is difficult to compare the overall efficiency of international regulators as mandates, requirements and resourcing levels all differ. These regulators are noted only as having an interview component as part of their method of assessment</w:t>
      </w:r>
      <w:r w:rsidR="00C606AD">
        <w:t xml:space="preserve">. </w:t>
      </w:r>
    </w:p>
  </w:footnote>
  <w:footnote w:id="191">
    <w:p w14:paraId="2A2B8A7E" w14:textId="648B0F82" w:rsidR="00A02457" w:rsidRDefault="00526D0C" w:rsidP="00422489">
      <w:pPr>
        <w:pStyle w:val="FootnoteText"/>
      </w:pPr>
      <w:r w:rsidRPr="00526D0C">
        <w:rPr>
          <w:rStyle w:val="FootnoteReference"/>
          <w:vertAlign w:val="baseline"/>
        </w:rPr>
        <w:footnoteRef/>
      </w:r>
      <w:r w:rsidR="00A02457">
        <w:t xml:space="preserve"> </w:t>
      </w:r>
      <w:r w:rsidR="00422489">
        <w:tab/>
      </w:r>
      <w:r w:rsidR="00FF7AF3">
        <w:t>OSC</w:t>
      </w:r>
      <w:r w:rsidR="00A02457" w:rsidRPr="00D45FE2">
        <w:t xml:space="preserve">, </w:t>
      </w:r>
      <w:r w:rsidR="00243387">
        <w:rPr>
          <w:i/>
          <w:iCs/>
        </w:rPr>
        <w:t>Annual Summary Report for Dealers, Advisers and Investment Fund Managers</w:t>
      </w:r>
      <w:r w:rsidR="004231B2">
        <w:rPr>
          <w:i/>
          <w:iCs/>
        </w:rPr>
        <w:t xml:space="preserve">, </w:t>
      </w:r>
      <w:r w:rsidR="00FF7AF3">
        <w:t>OSC</w:t>
      </w:r>
      <w:r w:rsidR="00260AD8">
        <w:t xml:space="preserve"> website,</w:t>
      </w:r>
      <w:r w:rsidR="004231B2">
        <w:t xml:space="preserve"> </w:t>
      </w:r>
      <w:r w:rsidR="00A02457" w:rsidRPr="00D45FE2">
        <w:t>2015</w:t>
      </w:r>
      <w:r w:rsidR="00A20495">
        <w:t xml:space="preserve">, </w:t>
      </w:r>
      <w:r w:rsidR="00EF392A">
        <w:t>accessed 21 July 2022,</w:t>
      </w:r>
      <w:r w:rsidR="00A20495">
        <w:t xml:space="preserve"> pp 3, 24</w:t>
      </w:r>
      <w:r w:rsidR="00FA145A">
        <w:t>.</w:t>
      </w:r>
    </w:p>
  </w:footnote>
  <w:footnote w:id="192">
    <w:p w14:paraId="636CC436" w14:textId="4EF4D036" w:rsidR="00A02457" w:rsidRPr="004B4095" w:rsidRDefault="00526D0C" w:rsidP="00A02457">
      <w:pPr>
        <w:pStyle w:val="FootnoteText"/>
      </w:pPr>
      <w:r w:rsidRPr="00526D0C">
        <w:rPr>
          <w:rStyle w:val="FootnoteReference"/>
          <w:vertAlign w:val="baseline"/>
        </w:rPr>
        <w:footnoteRef/>
      </w:r>
      <w:r w:rsidR="00A02457">
        <w:t xml:space="preserve"> </w:t>
      </w:r>
      <w:r w:rsidR="00422489">
        <w:tab/>
      </w:r>
      <w:r w:rsidR="00A02457">
        <w:t>14% disagreed and the remainder n</w:t>
      </w:r>
      <w:r w:rsidR="00A02457" w:rsidRPr="00BB0179">
        <w:t>eutral</w:t>
      </w:r>
      <w:r w:rsidR="00A02457">
        <w:t xml:space="preserve">. </w:t>
      </w:r>
      <w:r w:rsidR="00A02457" w:rsidRPr="497B9425">
        <w:t xml:space="preserve">The </w:t>
      </w:r>
      <w:r w:rsidR="00A02457">
        <w:t>FRAA</w:t>
      </w:r>
      <w:r w:rsidR="00EF40B0">
        <w:t>’</w:t>
      </w:r>
      <w:r w:rsidR="00A02457">
        <w:t xml:space="preserve">s </w:t>
      </w:r>
      <w:r w:rsidR="00A02457" w:rsidRPr="497B9425">
        <w:t>survey</w:t>
      </w:r>
      <w:r w:rsidR="00A02457">
        <w:t xml:space="preserve"> </w:t>
      </w:r>
      <w:r w:rsidR="00A02457" w:rsidRPr="497B9425">
        <w:t>did not ask if the quality and quantity of training had been sufficient</w:t>
      </w:r>
      <w:r w:rsidR="00A02457">
        <w:t>,</w:t>
      </w:r>
      <w:r w:rsidR="00A02457" w:rsidRPr="497B9425">
        <w:t xml:space="preserve"> but rather that it had occurred</w:t>
      </w:r>
      <w:r w:rsidR="00A02457">
        <w:t>.</w:t>
      </w:r>
    </w:p>
  </w:footnote>
  <w:footnote w:id="193">
    <w:p w14:paraId="5EB02D8C" w14:textId="48583CC4" w:rsidR="00A02457" w:rsidRDefault="00526D0C" w:rsidP="00A02457">
      <w:pPr>
        <w:pStyle w:val="FootnoteText"/>
      </w:pPr>
      <w:r w:rsidRPr="00526D0C">
        <w:rPr>
          <w:rStyle w:val="FootnoteReference"/>
          <w:vertAlign w:val="baseline"/>
        </w:rPr>
        <w:footnoteRef/>
      </w:r>
      <w:r w:rsidR="00A02457">
        <w:t xml:space="preserve"> </w:t>
      </w:r>
      <w:r w:rsidR="00422489">
        <w:tab/>
      </w:r>
      <w:r w:rsidR="00A02457" w:rsidRPr="00D12673">
        <w:t>Results from initial staff self</w:t>
      </w:r>
      <w:r w:rsidR="00EF40B0">
        <w:noBreakHyphen/>
      </w:r>
      <w:r w:rsidR="00A02457" w:rsidRPr="00D12673">
        <w:t>assessments conducted under ASIC</w:t>
      </w:r>
      <w:r w:rsidR="00EF40B0">
        <w:t>’</w:t>
      </w:r>
      <w:r w:rsidR="00A02457" w:rsidRPr="00D12673">
        <w:t>s refreshed capability framework. The capability descriptors and associated proficiency levels included in the staff self</w:t>
      </w:r>
      <w:r w:rsidR="00EF40B0">
        <w:noBreakHyphen/>
      </w:r>
      <w:r w:rsidR="00A02457" w:rsidRPr="00D12673">
        <w:t>assessment described where ASIC wanted its team members to be over the next 3 to 5 years. ASIC is still in the process of embedding the capability framework across the organisation.</w:t>
      </w:r>
    </w:p>
  </w:footnote>
  <w:footnote w:id="194">
    <w:p w14:paraId="27D03D36" w14:textId="087C55B4" w:rsidR="00A02457" w:rsidRDefault="00526D0C" w:rsidP="00A02457">
      <w:pPr>
        <w:pStyle w:val="FootnoteText"/>
      </w:pPr>
      <w:r w:rsidRPr="00526D0C">
        <w:rPr>
          <w:rStyle w:val="FootnoteReference"/>
          <w:vertAlign w:val="baseline"/>
        </w:rPr>
        <w:footnoteRef/>
      </w:r>
      <w:r w:rsidR="00A02457">
        <w:t xml:space="preserve"> </w:t>
      </w:r>
      <w:r w:rsidR="00422489">
        <w:tab/>
      </w:r>
      <w:r w:rsidR="00A02457">
        <w:t>Stakeholder survey</w:t>
      </w:r>
      <w:r w:rsidR="00EC277A">
        <w:t xml:space="preserve">: </w:t>
      </w:r>
      <w:r w:rsidR="00A02457">
        <w:t>19% disagreed and the remainder neutral and staff survey</w:t>
      </w:r>
      <w:r w:rsidR="00EC277A">
        <w:t xml:space="preserve">: </w:t>
      </w:r>
      <w:r w:rsidR="00A02457">
        <w:t xml:space="preserve">4% disagreed and the remainder neutral. </w:t>
      </w:r>
    </w:p>
  </w:footnote>
  <w:footnote w:id="195">
    <w:p w14:paraId="7AC902ED" w14:textId="122E2C21" w:rsidR="00A02457" w:rsidRDefault="00526D0C" w:rsidP="00A02457">
      <w:pPr>
        <w:pStyle w:val="FootnoteText"/>
      </w:pPr>
      <w:r w:rsidRPr="00526D0C">
        <w:rPr>
          <w:rStyle w:val="FootnoteReference"/>
          <w:vertAlign w:val="baseline"/>
        </w:rPr>
        <w:footnoteRef/>
      </w:r>
      <w:r w:rsidR="00A02457">
        <w:t xml:space="preserve"> </w:t>
      </w:r>
      <w:r w:rsidR="00422489">
        <w:tab/>
      </w:r>
      <w:r w:rsidR="00A02457" w:rsidRPr="008272C7">
        <w:rPr>
          <w:rFonts w:cstheme="minorHAnsi"/>
        </w:rPr>
        <w:t>Approximately 10% of the applications assessed by ASIC are voluntarily withdrawn by the applicant, typically after the licensing team explains reasons for why they will recommend a refusal to the ASIC delegate.</w:t>
      </w:r>
      <w:r w:rsidR="00A02457">
        <w:rPr>
          <w:rFonts w:cstheme="minorHAnsi"/>
          <w:sz w:val="22"/>
          <w:szCs w:val="22"/>
        </w:rPr>
        <w:t xml:space="preserve"> </w:t>
      </w:r>
    </w:p>
  </w:footnote>
  <w:footnote w:id="196">
    <w:p w14:paraId="0C8234CA" w14:textId="726027FA" w:rsidR="00A02457" w:rsidRDefault="00526D0C" w:rsidP="00A02457">
      <w:pPr>
        <w:pStyle w:val="FootnoteText"/>
      </w:pPr>
      <w:r w:rsidRPr="00526D0C">
        <w:rPr>
          <w:rStyle w:val="FootnoteReference"/>
          <w:vertAlign w:val="baseline"/>
        </w:rPr>
        <w:footnoteRef/>
      </w:r>
      <w:r w:rsidR="00A02457">
        <w:t xml:space="preserve"> </w:t>
      </w:r>
      <w:r w:rsidR="00422489">
        <w:tab/>
      </w:r>
      <w:r w:rsidR="00A02457">
        <w:rPr>
          <w:rFonts w:cstheme="minorHAnsi"/>
          <w:szCs w:val="22"/>
        </w:rPr>
        <w:t xml:space="preserve">ASIC, </w:t>
      </w:r>
      <w:r w:rsidR="00A02457" w:rsidRPr="00BE16B3">
        <w:rPr>
          <w:rFonts w:cstheme="minorHAnsi"/>
          <w:szCs w:val="22"/>
        </w:rPr>
        <w:t>Material supplied to th</w:t>
      </w:r>
      <w:r w:rsidR="0053002A" w:rsidRPr="00BE16B3">
        <w:rPr>
          <w:rFonts w:cstheme="minorHAnsi"/>
          <w:szCs w:val="22"/>
        </w:rPr>
        <w:t>is</w:t>
      </w:r>
      <w:r w:rsidR="00A02457" w:rsidRPr="00BE16B3">
        <w:rPr>
          <w:rFonts w:cstheme="minorHAnsi"/>
          <w:szCs w:val="22"/>
        </w:rPr>
        <w:t xml:space="preserve"> </w:t>
      </w:r>
      <w:r w:rsidR="00975977" w:rsidRPr="00BE16B3">
        <w:rPr>
          <w:rFonts w:cstheme="minorHAnsi"/>
          <w:szCs w:val="22"/>
        </w:rPr>
        <w:t>r</w:t>
      </w:r>
      <w:r w:rsidR="00A02457" w:rsidRPr="00BE16B3">
        <w:rPr>
          <w:rFonts w:cstheme="minorHAnsi"/>
          <w:szCs w:val="22"/>
        </w:rPr>
        <w:t>eview</w:t>
      </w:r>
      <w:r w:rsidR="0053002A" w:rsidRPr="00BE16B3">
        <w:rPr>
          <w:rFonts w:cstheme="minorHAnsi"/>
          <w:szCs w:val="22"/>
        </w:rPr>
        <w:t>,</w:t>
      </w:r>
      <w:r w:rsidR="0053002A">
        <w:rPr>
          <w:rFonts w:cstheme="minorHAnsi"/>
          <w:i/>
          <w:iCs/>
          <w:szCs w:val="22"/>
        </w:rPr>
        <w:t xml:space="preserve"> </w:t>
      </w:r>
      <w:r w:rsidR="0053002A">
        <w:rPr>
          <w:rFonts w:cstheme="minorHAnsi"/>
          <w:szCs w:val="22"/>
        </w:rPr>
        <w:t>2022</w:t>
      </w:r>
      <w:r w:rsidR="00074F5B">
        <w:rPr>
          <w:rFonts w:cstheme="minorHAnsi"/>
          <w:szCs w:val="22"/>
        </w:rPr>
        <w:t>.</w:t>
      </w:r>
      <w:r w:rsidR="00A02457">
        <w:rPr>
          <w:rFonts w:cstheme="minorHAnsi"/>
          <w:szCs w:val="22"/>
        </w:rPr>
        <w:t xml:space="preserve"> ASIC, </w:t>
      </w:r>
      <w:r w:rsidR="00A02457" w:rsidRPr="00BE16B3">
        <w:rPr>
          <w:rFonts w:cstheme="minorHAnsi"/>
          <w:szCs w:val="22"/>
        </w:rPr>
        <w:t>Material supplied to th</w:t>
      </w:r>
      <w:r w:rsidR="0053002A" w:rsidRPr="00BE16B3">
        <w:rPr>
          <w:rFonts w:cstheme="minorHAnsi"/>
          <w:szCs w:val="22"/>
        </w:rPr>
        <w:t>is</w:t>
      </w:r>
      <w:r w:rsidR="00A02457" w:rsidRPr="00BE16B3">
        <w:rPr>
          <w:rFonts w:cstheme="minorHAnsi"/>
          <w:szCs w:val="22"/>
        </w:rPr>
        <w:t xml:space="preserve"> </w:t>
      </w:r>
      <w:r w:rsidR="00975977" w:rsidRPr="00BE16B3">
        <w:rPr>
          <w:rFonts w:cstheme="minorHAnsi"/>
          <w:szCs w:val="22"/>
        </w:rPr>
        <w:t>r</w:t>
      </w:r>
      <w:r w:rsidR="00A02457" w:rsidRPr="00BE16B3">
        <w:rPr>
          <w:rFonts w:cstheme="minorHAnsi"/>
          <w:szCs w:val="22"/>
        </w:rPr>
        <w:t>eview</w:t>
      </w:r>
      <w:r w:rsidR="0053002A" w:rsidRPr="00BE16B3">
        <w:rPr>
          <w:rFonts w:cstheme="minorHAnsi"/>
          <w:szCs w:val="22"/>
        </w:rPr>
        <w:t>,</w:t>
      </w:r>
      <w:r w:rsidR="0053002A">
        <w:rPr>
          <w:rFonts w:cstheme="minorHAnsi"/>
          <w:i/>
          <w:iCs/>
          <w:szCs w:val="22"/>
        </w:rPr>
        <w:t xml:space="preserve"> </w:t>
      </w:r>
      <w:r w:rsidR="0053002A">
        <w:rPr>
          <w:rFonts w:cstheme="minorHAnsi"/>
          <w:szCs w:val="22"/>
        </w:rPr>
        <w:t>2021</w:t>
      </w:r>
      <w:r w:rsidR="00EF40B0">
        <w:rPr>
          <w:rFonts w:cstheme="minorHAnsi"/>
          <w:szCs w:val="22"/>
        </w:rPr>
        <w:t xml:space="preserve">. </w:t>
      </w:r>
      <w:r w:rsidR="00A02457">
        <w:t xml:space="preserve"> </w:t>
      </w:r>
    </w:p>
  </w:footnote>
  <w:footnote w:id="197">
    <w:p w14:paraId="2EAD3A66" w14:textId="658BDB53" w:rsidR="00AE5C07" w:rsidRDefault="00526D0C">
      <w:pPr>
        <w:pStyle w:val="FootnoteText"/>
      </w:pPr>
      <w:r w:rsidRPr="00526D0C">
        <w:rPr>
          <w:rStyle w:val="FootnoteReference"/>
          <w:vertAlign w:val="baseline"/>
        </w:rPr>
        <w:footnoteRef/>
      </w:r>
      <w:r w:rsidR="00AE5C07" w:rsidRPr="00546640">
        <w:t xml:space="preserve"> </w:t>
      </w:r>
      <w:r w:rsidR="009736C9">
        <w:tab/>
      </w:r>
      <w:r w:rsidR="00546640">
        <w:t>Note that o</w:t>
      </w:r>
      <w:r w:rsidR="00546640" w:rsidRPr="00546640">
        <w:t xml:space="preserve">utcomes that were marked </w:t>
      </w:r>
      <w:r w:rsidR="00EF40B0">
        <w:t>‘</w:t>
      </w:r>
      <w:r w:rsidR="00546640">
        <w:t>i</w:t>
      </w:r>
      <w:r w:rsidR="00546640" w:rsidRPr="00546640">
        <w:t>n progress</w:t>
      </w:r>
      <w:r w:rsidR="00EF40B0">
        <w:t>’</w:t>
      </w:r>
      <w:r w:rsidR="00546640" w:rsidRPr="00546640">
        <w:t xml:space="preserve"> were in progress at the end of the financial year they were applied for</w:t>
      </w:r>
      <w:r w:rsidR="00546640">
        <w:t>.</w:t>
      </w:r>
    </w:p>
  </w:footnote>
  <w:footnote w:id="198">
    <w:p w14:paraId="7A2FD211" w14:textId="0A6BD490"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Stakeholder survey </w:t>
      </w:r>
      <w:r w:rsidR="00A02457" w:rsidRPr="00EC277A">
        <w:t>ASIC conducts fair and robust licensing assessments</w:t>
      </w:r>
      <w:r w:rsidR="00317E40" w:rsidRPr="00317E40">
        <w:t>:</w:t>
      </w:r>
      <w:r w:rsidR="00A02457">
        <w:rPr>
          <w:i/>
        </w:rPr>
        <w:t xml:space="preserve"> </w:t>
      </w:r>
      <w:r w:rsidR="00A02457">
        <w:t xml:space="preserve">50% agreed, 19% disagreed and the remainder neutral; staff survey: 62% agreed, 4% disagreed and the remainder neutral. </w:t>
      </w:r>
    </w:p>
  </w:footnote>
  <w:footnote w:id="199">
    <w:p w14:paraId="179AC838" w14:textId="01A0041A" w:rsidR="00A02457" w:rsidRDefault="00526D0C" w:rsidP="00A02457">
      <w:pPr>
        <w:pStyle w:val="FootnoteText"/>
      </w:pPr>
      <w:r w:rsidRPr="00526D0C">
        <w:rPr>
          <w:rStyle w:val="FootnoteReference"/>
          <w:vertAlign w:val="baseline"/>
        </w:rPr>
        <w:footnoteRef/>
      </w:r>
      <w:r w:rsidR="00A02457">
        <w:t xml:space="preserve"> </w:t>
      </w:r>
      <w:r w:rsidR="00422489">
        <w:tab/>
      </w:r>
      <w:r w:rsidR="00A02457">
        <w:rPr>
          <w:rFonts w:cstheme="minorHAnsi"/>
          <w:szCs w:val="22"/>
        </w:rPr>
        <w:t xml:space="preserve">ASIC, </w:t>
      </w:r>
      <w:r w:rsidR="00A02457" w:rsidRPr="00BE16B3">
        <w:rPr>
          <w:rFonts w:cstheme="minorHAnsi"/>
          <w:szCs w:val="22"/>
        </w:rPr>
        <w:t>Material supplied to th</w:t>
      </w:r>
      <w:r w:rsidR="006B1CD3" w:rsidRPr="00BE16B3">
        <w:rPr>
          <w:rFonts w:cstheme="minorHAnsi"/>
          <w:szCs w:val="22"/>
        </w:rPr>
        <w:t>is</w:t>
      </w:r>
      <w:r w:rsidR="00A02457" w:rsidRPr="00BE16B3">
        <w:rPr>
          <w:rFonts w:cstheme="minorHAnsi"/>
          <w:szCs w:val="22"/>
        </w:rPr>
        <w:t xml:space="preserve"> </w:t>
      </w:r>
      <w:r w:rsidR="00975977" w:rsidRPr="00BE16B3">
        <w:rPr>
          <w:rFonts w:cstheme="minorHAnsi"/>
          <w:szCs w:val="22"/>
        </w:rPr>
        <w:t>r</w:t>
      </w:r>
      <w:r w:rsidR="00A02457" w:rsidRPr="00BE16B3">
        <w:rPr>
          <w:rFonts w:cstheme="minorHAnsi"/>
          <w:szCs w:val="22"/>
        </w:rPr>
        <w:t>eview</w:t>
      </w:r>
      <w:r w:rsidR="006B1CD3" w:rsidRPr="00BE16B3">
        <w:rPr>
          <w:rFonts w:cstheme="minorHAnsi"/>
          <w:szCs w:val="22"/>
        </w:rPr>
        <w:t>,</w:t>
      </w:r>
      <w:r w:rsidR="006B1CD3">
        <w:rPr>
          <w:rFonts w:cstheme="minorHAnsi"/>
          <w:i/>
          <w:iCs/>
          <w:szCs w:val="22"/>
        </w:rPr>
        <w:t xml:space="preserve"> </w:t>
      </w:r>
      <w:r w:rsidR="006B1CD3">
        <w:rPr>
          <w:rFonts w:cstheme="minorHAnsi"/>
          <w:szCs w:val="22"/>
        </w:rPr>
        <w:t>2022</w:t>
      </w:r>
      <w:r w:rsidR="00EF40B0">
        <w:rPr>
          <w:rFonts w:cstheme="minorHAnsi"/>
          <w:szCs w:val="22"/>
        </w:rPr>
        <w:t xml:space="preserve">. </w:t>
      </w:r>
      <w:r w:rsidR="00A02457" w:rsidRPr="00D45FE2">
        <w:rPr>
          <w:rFonts w:cstheme="minorHAnsi"/>
          <w:szCs w:val="22"/>
        </w:rPr>
        <w:t xml:space="preserve"> </w:t>
      </w:r>
    </w:p>
  </w:footnote>
  <w:footnote w:id="200">
    <w:p w14:paraId="27FFD181" w14:textId="6B441D4E" w:rsidR="00A02457" w:rsidRDefault="00526D0C" w:rsidP="00A02457">
      <w:pPr>
        <w:pStyle w:val="FootnoteText"/>
      </w:pPr>
      <w:r w:rsidRPr="00526D0C">
        <w:rPr>
          <w:rStyle w:val="FootnoteReference"/>
          <w:vertAlign w:val="baseline"/>
        </w:rPr>
        <w:footnoteRef/>
      </w:r>
      <w:r w:rsidR="00A02457">
        <w:t xml:space="preserve"> </w:t>
      </w:r>
      <w:r w:rsidR="00422489">
        <w:tab/>
      </w:r>
      <w:r w:rsidR="00A02457">
        <w:rPr>
          <w:rFonts w:cstheme="minorHAnsi"/>
          <w:szCs w:val="22"/>
        </w:rPr>
        <w:t xml:space="preserve">ASIC, </w:t>
      </w:r>
      <w:r w:rsidR="00A02457" w:rsidRPr="00BE16B3">
        <w:rPr>
          <w:rFonts w:cstheme="minorHAnsi"/>
          <w:szCs w:val="22"/>
        </w:rPr>
        <w:t>Material supplied to th</w:t>
      </w:r>
      <w:r w:rsidR="006B1CD3" w:rsidRPr="00BE16B3">
        <w:rPr>
          <w:rFonts w:cstheme="minorHAnsi"/>
          <w:szCs w:val="22"/>
        </w:rPr>
        <w:t>is</w:t>
      </w:r>
      <w:r w:rsidR="00A02457" w:rsidRPr="00BE16B3">
        <w:rPr>
          <w:rFonts w:cstheme="minorHAnsi"/>
          <w:szCs w:val="22"/>
        </w:rPr>
        <w:t xml:space="preserve"> </w:t>
      </w:r>
      <w:r w:rsidR="00975977" w:rsidRPr="00BE16B3">
        <w:rPr>
          <w:rFonts w:cstheme="minorHAnsi"/>
          <w:szCs w:val="22"/>
        </w:rPr>
        <w:t>r</w:t>
      </w:r>
      <w:r w:rsidR="00A02457" w:rsidRPr="00BE16B3">
        <w:rPr>
          <w:rFonts w:cstheme="minorHAnsi"/>
          <w:szCs w:val="22"/>
        </w:rPr>
        <w:t>eview</w:t>
      </w:r>
      <w:r w:rsidR="006B1CD3">
        <w:rPr>
          <w:rFonts w:cstheme="minorHAnsi"/>
          <w:szCs w:val="22"/>
        </w:rPr>
        <w:t>, 2022.</w:t>
      </w:r>
    </w:p>
  </w:footnote>
  <w:footnote w:id="201">
    <w:p w14:paraId="1C150E71" w14:textId="05416666" w:rsidR="00A02457" w:rsidRDefault="00526D0C" w:rsidP="00A02457">
      <w:pPr>
        <w:pStyle w:val="FootnoteText"/>
      </w:pPr>
      <w:r w:rsidRPr="00526D0C">
        <w:rPr>
          <w:rStyle w:val="FootnoteReference"/>
          <w:vertAlign w:val="baseline"/>
        </w:rPr>
        <w:footnoteRef/>
      </w:r>
      <w:r w:rsidR="00A02457">
        <w:t xml:space="preserve"> </w:t>
      </w:r>
      <w:r w:rsidR="00422489">
        <w:tab/>
      </w:r>
      <w:r w:rsidR="00A02457">
        <w:rPr>
          <w:rFonts w:cstheme="minorHAnsi"/>
          <w:szCs w:val="22"/>
        </w:rPr>
        <w:t xml:space="preserve">ASIC, </w:t>
      </w:r>
      <w:r w:rsidR="00A02457" w:rsidRPr="00BE16B3">
        <w:rPr>
          <w:rFonts w:cstheme="minorHAnsi"/>
          <w:szCs w:val="22"/>
        </w:rPr>
        <w:t>Material supplied to th</w:t>
      </w:r>
      <w:r w:rsidR="006B1CD3" w:rsidRPr="00BE16B3">
        <w:rPr>
          <w:rFonts w:cstheme="minorHAnsi"/>
          <w:szCs w:val="22"/>
        </w:rPr>
        <w:t>is</w:t>
      </w:r>
      <w:r w:rsidR="00A02457" w:rsidRPr="00BE16B3">
        <w:rPr>
          <w:rFonts w:cstheme="minorHAnsi"/>
          <w:szCs w:val="22"/>
        </w:rPr>
        <w:t xml:space="preserve"> </w:t>
      </w:r>
      <w:r w:rsidR="00975977" w:rsidRPr="00BE16B3">
        <w:rPr>
          <w:rFonts w:cstheme="minorHAnsi"/>
          <w:szCs w:val="22"/>
        </w:rPr>
        <w:t>r</w:t>
      </w:r>
      <w:r w:rsidR="00A02457" w:rsidRPr="00BE16B3">
        <w:rPr>
          <w:rFonts w:cstheme="minorHAnsi"/>
          <w:szCs w:val="22"/>
        </w:rPr>
        <w:t>eview</w:t>
      </w:r>
      <w:r w:rsidR="00A02457">
        <w:rPr>
          <w:rFonts w:cstheme="minorHAnsi"/>
          <w:szCs w:val="22"/>
        </w:rPr>
        <w:t>,</w:t>
      </w:r>
      <w:r w:rsidR="006B1CD3">
        <w:rPr>
          <w:rFonts w:cstheme="minorHAnsi"/>
          <w:szCs w:val="22"/>
        </w:rPr>
        <w:t xml:space="preserve"> 202</w:t>
      </w:r>
      <w:r w:rsidR="007D7B68">
        <w:rPr>
          <w:rFonts w:cstheme="minorHAnsi"/>
          <w:szCs w:val="22"/>
        </w:rPr>
        <w:t>2</w:t>
      </w:r>
      <w:r w:rsidR="002B4FA0">
        <w:rPr>
          <w:rFonts w:cstheme="minorHAnsi"/>
          <w:szCs w:val="22"/>
        </w:rPr>
        <w:t>.</w:t>
      </w:r>
      <w:r w:rsidR="00A02457">
        <w:t xml:space="preserve"> </w:t>
      </w:r>
      <w:r w:rsidR="00B030CD">
        <w:t xml:space="preserve">ASIC, </w:t>
      </w:r>
      <w:r w:rsidR="00B030CD">
        <w:rPr>
          <w:i/>
          <w:iCs/>
        </w:rPr>
        <w:t>Annual Report 2016</w:t>
      </w:r>
      <w:r w:rsidR="00BF1470">
        <w:t>–</w:t>
      </w:r>
      <w:r w:rsidR="00B030CD">
        <w:rPr>
          <w:i/>
          <w:iCs/>
        </w:rPr>
        <w:t>17</w:t>
      </w:r>
      <w:r w:rsidR="007C0CF5">
        <w:rPr>
          <w:i/>
          <w:iCs/>
        </w:rPr>
        <w:t xml:space="preserve">, </w:t>
      </w:r>
      <w:r w:rsidR="00B966B6">
        <w:t>p 35</w:t>
      </w:r>
      <w:r w:rsidR="00EF40B0">
        <w:rPr>
          <w:rStyle w:val="Hyperlink"/>
        </w:rPr>
        <w:t xml:space="preserve">. </w:t>
      </w:r>
    </w:p>
  </w:footnote>
  <w:footnote w:id="202">
    <w:p w14:paraId="6ED7D0F3" w14:textId="1EBEDF92" w:rsidR="00A02457" w:rsidRDefault="00526D0C" w:rsidP="00A02457">
      <w:pPr>
        <w:pStyle w:val="FootnoteText"/>
      </w:pPr>
      <w:r w:rsidRPr="00526D0C">
        <w:rPr>
          <w:rStyle w:val="FootnoteReference"/>
          <w:vertAlign w:val="baseline"/>
        </w:rPr>
        <w:footnoteRef/>
      </w:r>
      <w:r w:rsidR="00A02457">
        <w:t xml:space="preserve"> </w:t>
      </w:r>
      <w:r w:rsidR="00422489">
        <w:tab/>
      </w:r>
      <w:r w:rsidR="00A02457">
        <w:t xml:space="preserve">Annual Report and Licensing and professional registration activities update. </w:t>
      </w:r>
    </w:p>
  </w:footnote>
  <w:footnote w:id="203">
    <w:p w14:paraId="6877FA8D" w14:textId="590E2570" w:rsidR="00181DCA" w:rsidRDefault="00526D0C" w:rsidP="00181DCA">
      <w:pPr>
        <w:pStyle w:val="FootnoteText"/>
      </w:pPr>
      <w:r w:rsidRPr="00526D0C">
        <w:rPr>
          <w:rStyle w:val="FootnoteReference"/>
          <w:vertAlign w:val="baseline"/>
        </w:rPr>
        <w:footnoteRef/>
      </w:r>
      <w:r w:rsidR="00A02457">
        <w:t xml:space="preserve"> </w:t>
      </w:r>
      <w:r w:rsidR="00422489">
        <w:tab/>
      </w:r>
      <w:r w:rsidR="00A02457">
        <w:rPr>
          <w:rFonts w:cstheme="minorHAnsi"/>
          <w:szCs w:val="22"/>
        </w:rPr>
        <w:t xml:space="preserve">ASIC, </w:t>
      </w:r>
      <w:r w:rsidR="00A02457" w:rsidRPr="00BE16B3">
        <w:rPr>
          <w:rFonts w:cstheme="minorHAnsi"/>
          <w:szCs w:val="22"/>
        </w:rPr>
        <w:t>Material supplied to th</w:t>
      </w:r>
      <w:r w:rsidR="0092269E" w:rsidRPr="00BE16B3">
        <w:rPr>
          <w:rFonts w:cstheme="minorHAnsi"/>
          <w:szCs w:val="22"/>
        </w:rPr>
        <w:t>is</w:t>
      </w:r>
      <w:r w:rsidR="00A02457" w:rsidRPr="00BE16B3">
        <w:rPr>
          <w:rFonts w:cstheme="minorHAnsi"/>
          <w:szCs w:val="22"/>
        </w:rPr>
        <w:t xml:space="preserve"> </w:t>
      </w:r>
      <w:r w:rsidR="00764906" w:rsidRPr="00BE16B3">
        <w:rPr>
          <w:rFonts w:cstheme="minorHAnsi"/>
          <w:szCs w:val="22"/>
        </w:rPr>
        <w:t>r</w:t>
      </w:r>
      <w:r w:rsidR="00A02457" w:rsidRPr="00BE16B3">
        <w:rPr>
          <w:rFonts w:cstheme="minorHAnsi"/>
          <w:szCs w:val="22"/>
        </w:rPr>
        <w:t>eview</w:t>
      </w:r>
      <w:r w:rsidR="0092269E" w:rsidRPr="00BE16B3">
        <w:rPr>
          <w:rFonts w:cstheme="minorHAnsi"/>
          <w:szCs w:val="22"/>
        </w:rPr>
        <w:t>,</w:t>
      </w:r>
      <w:r w:rsidR="0092269E">
        <w:rPr>
          <w:rFonts w:cstheme="minorHAnsi"/>
          <w:i/>
          <w:iCs/>
          <w:szCs w:val="22"/>
        </w:rPr>
        <w:t xml:space="preserve"> </w:t>
      </w:r>
      <w:r w:rsidR="0092269E">
        <w:rPr>
          <w:rFonts w:cstheme="minorHAnsi"/>
          <w:szCs w:val="22"/>
        </w:rPr>
        <w:t>2022</w:t>
      </w:r>
      <w:r w:rsidR="00F1369C">
        <w:rPr>
          <w:rFonts w:cstheme="minorHAnsi"/>
          <w:szCs w:val="22"/>
        </w:rPr>
        <w:t>.</w:t>
      </w:r>
      <w:r w:rsidR="00A02457">
        <w:rPr>
          <w:rFonts w:cstheme="minorHAnsi"/>
          <w:szCs w:val="22"/>
        </w:rPr>
        <w:t xml:space="preserve"> T</w:t>
      </w:r>
      <w:r w:rsidR="00A02457">
        <w:t>he reasons the 3 licensees were subject to enforcement investigations were (1) cold</w:t>
      </w:r>
      <w:r w:rsidR="00EF40B0">
        <w:noBreakHyphen/>
      </w:r>
      <w:r w:rsidR="00A02457">
        <w:t xml:space="preserve">calling to switch superannuation accounts – note this would not be considered from licensing assessment (2) potential fraud – note ASIC has regard to previous criminal offences and intelligence on past conduct that may impact future conduct, if no probity issues then unable to predict future misconduct, and (3) concerns liquidation of assets may not be in best interests of investors – this reflects business judgement and was beyond scope of assessment at the licence application stage. </w:t>
      </w:r>
    </w:p>
  </w:footnote>
  <w:footnote w:id="204">
    <w:p w14:paraId="5DD3F23A" w14:textId="0BBE9CB5" w:rsidR="00A02457" w:rsidRDefault="00526D0C" w:rsidP="00A02457">
      <w:pPr>
        <w:pStyle w:val="FootnoteText"/>
      </w:pPr>
      <w:r w:rsidRPr="00526D0C">
        <w:rPr>
          <w:rStyle w:val="FootnoteReference"/>
          <w:vertAlign w:val="baseline"/>
        </w:rPr>
        <w:footnoteRef/>
      </w:r>
      <w:r w:rsidR="00A02457">
        <w:t xml:space="preserve"> </w:t>
      </w:r>
      <w:r w:rsidR="00D67312">
        <w:tab/>
      </w:r>
      <w:r w:rsidR="00E11184">
        <w:t>FMA</w:t>
      </w:r>
      <w:r w:rsidR="00A02457">
        <w:t xml:space="preserve">, </w:t>
      </w:r>
      <w:hyperlink r:id="rId24" w:history="1">
        <w:r w:rsidR="00C04BD7" w:rsidRPr="002F586E">
          <w:rPr>
            <w:rStyle w:val="Hyperlink"/>
            <w:i/>
            <w:iCs/>
          </w:rPr>
          <w:t>Ease of doing business survey,</w:t>
        </w:r>
      </w:hyperlink>
      <w:r w:rsidR="00C04BD7">
        <w:rPr>
          <w:i/>
          <w:iCs/>
        </w:rPr>
        <w:t xml:space="preserve"> </w:t>
      </w:r>
      <w:r w:rsidR="00C04BD7">
        <w:t>New Zealand Government, 2020</w:t>
      </w:r>
      <w:r w:rsidR="00BD4CF4">
        <w:t>, accessed 21 July 2022</w:t>
      </w:r>
      <w:r w:rsidR="00A02457">
        <w:rPr>
          <w:rStyle w:val="Hyperlink"/>
        </w:rPr>
        <w:t>.</w:t>
      </w:r>
    </w:p>
  </w:footnote>
  <w:footnote w:id="205">
    <w:p w14:paraId="2F0C3B8B" w14:textId="1221FE31" w:rsidR="00322780" w:rsidRDefault="00526D0C" w:rsidP="00322780">
      <w:pPr>
        <w:pStyle w:val="FootnoteText"/>
      </w:pPr>
      <w:r w:rsidRPr="00526D0C">
        <w:rPr>
          <w:rStyle w:val="FootnoteReference"/>
          <w:vertAlign w:val="baseline"/>
        </w:rPr>
        <w:footnoteRef/>
      </w:r>
      <w:r w:rsidR="00322780">
        <w:t xml:space="preserve"> </w:t>
      </w:r>
      <w:r w:rsidR="00422489">
        <w:tab/>
      </w:r>
      <w:r w:rsidR="00322780">
        <w:t xml:space="preserve">Department of the Prime Minister and Cabinet, </w:t>
      </w:r>
      <w:hyperlink r:id="rId25" w:history="1">
        <w:r w:rsidR="00322780" w:rsidRPr="00697BB7">
          <w:rPr>
            <w:rStyle w:val="Hyperlink"/>
            <w:i/>
            <w:iCs/>
          </w:rPr>
          <w:t>Regulator Performance Guide</w:t>
        </w:r>
        <w:r w:rsidR="00322780">
          <w:rPr>
            <w:rStyle w:val="Hyperlink"/>
          </w:rPr>
          <w:t xml:space="preserve">, </w:t>
        </w:r>
      </w:hyperlink>
      <w:r w:rsidR="00AC2A83">
        <w:rPr>
          <w:rStyle w:val="Hyperlink"/>
        </w:rPr>
        <w:t xml:space="preserve">Australian Government, 2021, </w:t>
      </w:r>
      <w:r w:rsidR="00322780" w:rsidRPr="00924D56">
        <w:rPr>
          <w:rStyle w:val="Hyperlink"/>
        </w:rPr>
        <w:t>p 8</w:t>
      </w:r>
      <w:r w:rsidR="008B3A73">
        <w:rPr>
          <w:rStyle w:val="Hyperlink"/>
        </w:rPr>
        <w:t>.</w:t>
      </w:r>
    </w:p>
  </w:footnote>
  <w:footnote w:id="206">
    <w:p w14:paraId="03550969" w14:textId="7C555BFB" w:rsidR="00322780" w:rsidRDefault="00526D0C" w:rsidP="00322780">
      <w:pPr>
        <w:pStyle w:val="FootnoteText"/>
      </w:pPr>
      <w:r w:rsidRPr="00526D0C">
        <w:rPr>
          <w:rStyle w:val="FootnoteReference"/>
          <w:vertAlign w:val="baseline"/>
        </w:rPr>
        <w:footnoteRef/>
      </w:r>
      <w:r w:rsidR="00322780">
        <w:t xml:space="preserve"> </w:t>
      </w:r>
      <w:r w:rsidR="00422489">
        <w:tab/>
      </w:r>
      <w:r w:rsidR="00322780">
        <w:t>ASIC</w:t>
      </w:r>
      <w:r w:rsidR="00EF40B0">
        <w:t>’</w:t>
      </w:r>
      <w:r w:rsidR="00322780">
        <w:t xml:space="preserve">s annual technology spend as a proportion of total spend, averaged over 4 years is around 10%. Comparatively, Services Australia is 12%, ATO is 16%, the </w:t>
      </w:r>
      <w:r w:rsidR="00844DEF">
        <w:t>U</w:t>
      </w:r>
      <w:r w:rsidR="00BA7CF2">
        <w:t xml:space="preserve">nited </w:t>
      </w:r>
      <w:r w:rsidR="00844DEF">
        <w:t>S</w:t>
      </w:r>
      <w:r w:rsidR="00BA7CF2">
        <w:t>tates</w:t>
      </w:r>
      <w:r w:rsidR="00EF40B0">
        <w:t>’</w:t>
      </w:r>
      <w:r w:rsidR="00844DEF">
        <w:t xml:space="preserve"> SEC</w:t>
      </w:r>
      <w:r w:rsidR="00322780">
        <w:t xml:space="preserve"> is 17%, and the </w:t>
      </w:r>
      <w:r w:rsidR="00844DEF">
        <w:t>U</w:t>
      </w:r>
      <w:r w:rsidR="001807DE">
        <w:t xml:space="preserve">nited </w:t>
      </w:r>
      <w:r w:rsidR="00844DEF">
        <w:t>K</w:t>
      </w:r>
      <w:r w:rsidR="001807DE">
        <w:t>ingdom</w:t>
      </w:r>
      <w:r w:rsidR="00EF40B0">
        <w:t>’</w:t>
      </w:r>
      <w:r w:rsidR="00844DEF">
        <w:t>s</w:t>
      </w:r>
      <w:r w:rsidR="00322780">
        <w:t xml:space="preserve"> </w:t>
      </w:r>
      <w:r w:rsidR="00844DEF">
        <w:t>FCA</w:t>
      </w:r>
      <w:r w:rsidR="00322780">
        <w:t xml:space="preserve"> is 21%. </w:t>
      </w:r>
      <w:r w:rsidR="00626F89">
        <w:t>Source</w:t>
      </w:r>
      <w:r w:rsidR="00BA7CF2">
        <w:t>s include</w:t>
      </w:r>
      <w:r w:rsidR="00626F89">
        <w:t xml:space="preserve"> </w:t>
      </w:r>
      <w:r w:rsidR="00626F89" w:rsidRPr="00230E2E">
        <w:t>B</w:t>
      </w:r>
      <w:r w:rsidR="00BA7CF2">
        <w:t xml:space="preserve">oston </w:t>
      </w:r>
      <w:r w:rsidR="00626F89" w:rsidRPr="00230E2E">
        <w:t>C</w:t>
      </w:r>
      <w:r w:rsidR="00BA7CF2">
        <w:t xml:space="preserve">onsulting </w:t>
      </w:r>
      <w:r w:rsidR="00BA7CF2" w:rsidRPr="00230E2E">
        <w:t>G</w:t>
      </w:r>
      <w:r w:rsidR="00BA7CF2">
        <w:t>roup</w:t>
      </w:r>
      <w:r w:rsidR="00626F89" w:rsidRPr="00230E2E">
        <w:t xml:space="preserve"> analysis, international peer regulator financial statements and annual reports</w:t>
      </w:r>
      <w:r w:rsidR="00626F89">
        <w:t>. Public information was used and judgement was applied to ensure like</w:t>
      </w:r>
      <w:r w:rsidR="00EF40B0">
        <w:noBreakHyphen/>
      </w:r>
      <w:r w:rsidR="00626F89">
        <w:t>for</w:t>
      </w:r>
      <w:r w:rsidR="00EF40B0">
        <w:noBreakHyphen/>
      </w:r>
      <w:r w:rsidR="00626F89">
        <w:t>like comparisons, noting that global market conduct regulators account for their data and technology spending in various ways, using different accounting methodologies to present this information</w:t>
      </w:r>
      <w:r w:rsidR="00EF40B0">
        <w:t xml:space="preserve">. </w:t>
      </w:r>
    </w:p>
  </w:footnote>
  <w:footnote w:id="207">
    <w:p w14:paraId="7056A050" w14:textId="4711BA76" w:rsidR="00322780" w:rsidRDefault="00526D0C" w:rsidP="00322780">
      <w:pPr>
        <w:pStyle w:val="FootnoteText"/>
      </w:pPr>
      <w:r w:rsidRPr="00526D0C">
        <w:rPr>
          <w:rStyle w:val="FootnoteReference"/>
          <w:vertAlign w:val="baseline"/>
        </w:rPr>
        <w:footnoteRef/>
      </w:r>
      <w:r w:rsidR="00322780">
        <w:t xml:space="preserve"> </w:t>
      </w:r>
      <w:r w:rsidR="00422489">
        <w:tab/>
      </w:r>
      <w:r w:rsidR="00322780" w:rsidRPr="001F429D">
        <w:t xml:space="preserve">The </w:t>
      </w:r>
      <w:r w:rsidR="00EF6740">
        <w:t>G</w:t>
      </w:r>
      <w:r w:rsidR="00322780" w:rsidRPr="001F429D">
        <w:t>overnment suggests that best practice regulators are transparent, open and responsive to feedback on how they operate, engaging in genuine two</w:t>
      </w:r>
      <w:r w:rsidR="00EF40B0">
        <w:noBreakHyphen/>
      </w:r>
      <w:r w:rsidR="00322780" w:rsidRPr="001F429D">
        <w:t xml:space="preserve">way dialogue with stakeholders and the broader community on their performance. Department of the Prime Minister and Cabinet, </w:t>
      </w:r>
      <w:hyperlink r:id="rId26" w:history="1">
        <w:r w:rsidR="00322780" w:rsidRPr="001F429D">
          <w:rPr>
            <w:rStyle w:val="Hyperlink"/>
            <w:i/>
            <w:iCs/>
          </w:rPr>
          <w:t>Regulator Performance Guide</w:t>
        </w:r>
      </w:hyperlink>
      <w:r w:rsidR="00487C2C" w:rsidRPr="00487C2C">
        <w:t>, Australian Government, 2021, p 9.</w:t>
      </w:r>
    </w:p>
  </w:footnote>
  <w:footnote w:id="208">
    <w:p w14:paraId="2E58BF59" w14:textId="7004B3A8" w:rsidR="00322780" w:rsidRDefault="00526D0C" w:rsidP="00322780">
      <w:pPr>
        <w:pStyle w:val="FootnoteText"/>
      </w:pPr>
      <w:r w:rsidRPr="00526D0C">
        <w:rPr>
          <w:rStyle w:val="FootnoteReference"/>
          <w:vertAlign w:val="baseline"/>
        </w:rPr>
        <w:footnoteRef/>
      </w:r>
      <w:r w:rsidR="00322780">
        <w:t xml:space="preserve"> </w:t>
      </w:r>
      <w:r w:rsidR="00422489">
        <w:tab/>
      </w:r>
      <w:r w:rsidR="00322780" w:rsidRPr="00C701FF">
        <w:t xml:space="preserve">The </w:t>
      </w:r>
      <w:r w:rsidR="00D6651D">
        <w:t>G</w:t>
      </w:r>
      <w:r w:rsidR="00322780" w:rsidRPr="00C701FF">
        <w:t>overnment</w:t>
      </w:r>
      <w:r w:rsidR="00EF40B0">
        <w:t>’</w:t>
      </w:r>
      <w:r w:rsidR="00322780" w:rsidRPr="00C701FF">
        <w:t>s view is that transparency in process supports community trust by demonstrating a regulator</w:t>
      </w:r>
      <w:r w:rsidR="00EF40B0">
        <w:t>’</w:t>
      </w:r>
      <w:r w:rsidR="00322780" w:rsidRPr="00C701FF">
        <w:t>s priorities and integrity and that regulators should clearly communicate regulatory processes and be transparent about decision</w:t>
      </w:r>
      <w:r w:rsidR="00EF40B0">
        <w:noBreakHyphen/>
      </w:r>
      <w:r w:rsidR="00322780" w:rsidRPr="00C701FF">
        <w:t xml:space="preserve">making criteria. Department of the Prime Minister and Cabinet, </w:t>
      </w:r>
      <w:hyperlink r:id="rId27" w:history="1">
        <w:r w:rsidR="00322780" w:rsidRPr="00C701FF">
          <w:rPr>
            <w:rStyle w:val="Hyperlink"/>
            <w:i/>
            <w:iCs/>
          </w:rPr>
          <w:t>Regulator Performance Guide</w:t>
        </w:r>
      </w:hyperlink>
      <w:r w:rsidR="00AC2A83" w:rsidRPr="00AC2A83">
        <w:t>, Australian Government, 2021, p 9.</w:t>
      </w:r>
    </w:p>
  </w:footnote>
  <w:footnote w:id="209">
    <w:p w14:paraId="1DB18C0E" w14:textId="6F876050" w:rsidR="00322780" w:rsidRPr="00A4683E" w:rsidRDefault="00526D0C" w:rsidP="00322780">
      <w:pPr>
        <w:pStyle w:val="FootnoteText"/>
      </w:pPr>
      <w:r w:rsidRPr="00526D0C">
        <w:rPr>
          <w:rStyle w:val="FootnoteReference"/>
          <w:vertAlign w:val="baseline"/>
        </w:rPr>
        <w:footnoteRef/>
      </w:r>
      <w:r w:rsidR="00322780">
        <w:t xml:space="preserve"> </w:t>
      </w:r>
      <w:r w:rsidR="00422489">
        <w:tab/>
      </w:r>
      <w:r w:rsidR="00322780" w:rsidRPr="00A4683E">
        <w:t>Percentages are based on 2020</w:t>
      </w:r>
      <w:r w:rsidR="00BF1470" w:rsidRPr="00A4683E">
        <w:t>–</w:t>
      </w:r>
      <w:r w:rsidR="00322780" w:rsidRPr="00A4683E">
        <w:t>21 and 2018</w:t>
      </w:r>
      <w:r w:rsidR="00BF1470" w:rsidRPr="00A4683E">
        <w:t>–</w:t>
      </w:r>
      <w:r w:rsidR="00322780" w:rsidRPr="00A4683E">
        <w:t xml:space="preserve">19 numbers, rounded to the nearest whole. </w:t>
      </w:r>
      <w:r w:rsidR="00D4754B" w:rsidRPr="00CF2AD1">
        <w:t xml:space="preserve">ATO, </w:t>
      </w:r>
      <w:hyperlink r:id="rId28" w:history="1">
        <w:r w:rsidR="00D4754B" w:rsidRPr="00CF2AD1">
          <w:rPr>
            <w:rStyle w:val="Hyperlink"/>
            <w:i/>
            <w:iCs/>
          </w:rPr>
          <w:t>ATO Regulator Performance Framework self</w:t>
        </w:r>
        <w:r w:rsidR="00EF40B0">
          <w:rPr>
            <w:rStyle w:val="Hyperlink"/>
            <w:i/>
            <w:iCs/>
          </w:rPr>
          <w:noBreakHyphen/>
        </w:r>
        <w:r w:rsidR="00D4754B" w:rsidRPr="00CF2AD1">
          <w:rPr>
            <w:rStyle w:val="Hyperlink"/>
            <w:i/>
            <w:iCs/>
          </w:rPr>
          <w:t>assessment report 2020</w:t>
        </w:r>
        <w:r w:rsidR="00EF40B0">
          <w:rPr>
            <w:rStyle w:val="Hyperlink"/>
            <w:i/>
            <w:iCs/>
          </w:rPr>
          <w:noBreakHyphen/>
        </w:r>
        <w:r w:rsidR="00D4754B" w:rsidRPr="00CF2AD1">
          <w:rPr>
            <w:rStyle w:val="Hyperlink"/>
            <w:i/>
            <w:iCs/>
          </w:rPr>
          <w:t>21</w:t>
        </w:r>
      </w:hyperlink>
      <w:r w:rsidR="00D4754B" w:rsidRPr="00CF2AD1">
        <w:t>, ATO website, 2022, accessed 21</w:t>
      </w:r>
      <w:r w:rsidR="00CA6AF0">
        <w:t> </w:t>
      </w:r>
      <w:r w:rsidR="00D4754B" w:rsidRPr="00CF2AD1">
        <w:t>July</w:t>
      </w:r>
      <w:r w:rsidR="00CA6AF0">
        <w:t> </w:t>
      </w:r>
      <w:r w:rsidR="00D4754B" w:rsidRPr="00CF2AD1">
        <w:t>2022, p 13.</w:t>
      </w:r>
      <w:r w:rsidR="00BF4FC7">
        <w:t xml:space="preserve"> </w:t>
      </w:r>
      <w:r w:rsidR="00764F92" w:rsidRPr="00CF2AD1">
        <w:t xml:space="preserve">ATO, </w:t>
      </w:r>
      <w:hyperlink r:id="rId29" w:history="1">
        <w:r w:rsidR="00764F92" w:rsidRPr="00CF2AD1">
          <w:rPr>
            <w:rStyle w:val="Hyperlink"/>
            <w:i/>
            <w:iCs/>
          </w:rPr>
          <w:t>ATO Regulator Performance Framework self</w:t>
        </w:r>
        <w:r w:rsidR="00EF40B0">
          <w:rPr>
            <w:rStyle w:val="Hyperlink"/>
            <w:i/>
            <w:iCs/>
          </w:rPr>
          <w:noBreakHyphen/>
        </w:r>
        <w:r w:rsidR="00764F92" w:rsidRPr="00CF2AD1">
          <w:rPr>
            <w:rStyle w:val="Hyperlink"/>
            <w:i/>
            <w:iCs/>
          </w:rPr>
          <w:t>assessment report 2020</w:t>
        </w:r>
        <w:r w:rsidR="00EF40B0">
          <w:rPr>
            <w:rStyle w:val="Hyperlink"/>
            <w:i/>
            <w:iCs/>
          </w:rPr>
          <w:noBreakHyphen/>
        </w:r>
        <w:r w:rsidR="00764F92" w:rsidRPr="00CF2AD1">
          <w:rPr>
            <w:rStyle w:val="Hyperlink"/>
            <w:i/>
            <w:iCs/>
          </w:rPr>
          <w:t>21</w:t>
        </w:r>
      </w:hyperlink>
      <w:r w:rsidR="00764F92" w:rsidRPr="00CF2AD1">
        <w:t>, ATO website, 2022, accessed 21 July 2022, p 13.</w:t>
      </w:r>
    </w:p>
  </w:footnote>
  <w:footnote w:id="210">
    <w:p w14:paraId="3F56BCF1" w14:textId="39E7BDDA" w:rsidR="00322780" w:rsidRPr="00A4683E" w:rsidRDefault="00526D0C" w:rsidP="00322780">
      <w:pPr>
        <w:pStyle w:val="FootnoteText"/>
      </w:pPr>
      <w:r w:rsidRPr="00526D0C">
        <w:rPr>
          <w:rStyle w:val="FootnoteReference"/>
          <w:vertAlign w:val="baseline"/>
        </w:rPr>
        <w:footnoteRef/>
      </w:r>
      <w:r w:rsidR="00322780" w:rsidRPr="00A4683E">
        <w:t xml:space="preserve"> </w:t>
      </w:r>
      <w:r w:rsidR="00422489" w:rsidRPr="00A4683E">
        <w:tab/>
      </w:r>
      <w:r w:rsidR="00322780" w:rsidRPr="00A4683E">
        <w:t>Since Reinventing the ATO began, staff satisfaction is at its highest levels recorded. The 2021 APS Census result recorded a score of 76% employee engagement.</w:t>
      </w:r>
    </w:p>
  </w:footnote>
  <w:footnote w:id="211">
    <w:p w14:paraId="7D9B4ACE" w14:textId="3CC93B95" w:rsidR="00322780" w:rsidRDefault="00526D0C" w:rsidP="00322780">
      <w:pPr>
        <w:pStyle w:val="FootnoteText"/>
      </w:pPr>
      <w:r w:rsidRPr="00526D0C">
        <w:rPr>
          <w:rStyle w:val="FootnoteReference"/>
          <w:vertAlign w:val="baseline"/>
        </w:rPr>
        <w:footnoteRef/>
      </w:r>
      <w:r w:rsidR="00D4754B" w:rsidRPr="00CF2AD1">
        <w:t xml:space="preserve"> </w:t>
      </w:r>
      <w:r w:rsidR="00D4754B" w:rsidRPr="00CF2AD1">
        <w:tab/>
        <w:t xml:space="preserve">ATO, </w:t>
      </w:r>
      <w:hyperlink r:id="rId30" w:history="1">
        <w:r w:rsidR="00322780" w:rsidRPr="00CF2AD1">
          <w:rPr>
            <w:rStyle w:val="Hyperlink"/>
            <w:i/>
          </w:rPr>
          <w:t>ATO</w:t>
        </w:r>
        <w:r w:rsidR="00D4754B" w:rsidRPr="00CF2AD1">
          <w:rPr>
            <w:rStyle w:val="Hyperlink"/>
            <w:i/>
            <w:iCs/>
          </w:rPr>
          <w:t xml:space="preserve"> </w:t>
        </w:r>
        <w:r w:rsidR="00322780" w:rsidRPr="00CF2AD1">
          <w:rPr>
            <w:rStyle w:val="Hyperlink"/>
            <w:i/>
          </w:rPr>
          <w:t>Regulator</w:t>
        </w:r>
        <w:r w:rsidR="00D4754B" w:rsidRPr="00CF2AD1">
          <w:rPr>
            <w:rStyle w:val="Hyperlink"/>
            <w:i/>
            <w:iCs/>
          </w:rPr>
          <w:t xml:space="preserve"> </w:t>
        </w:r>
        <w:r w:rsidR="00322780" w:rsidRPr="00CF2AD1">
          <w:rPr>
            <w:rStyle w:val="Hyperlink"/>
            <w:i/>
          </w:rPr>
          <w:t>Performance</w:t>
        </w:r>
        <w:r w:rsidR="00D4754B" w:rsidRPr="00CF2AD1">
          <w:rPr>
            <w:rStyle w:val="Hyperlink"/>
            <w:i/>
            <w:iCs/>
          </w:rPr>
          <w:t xml:space="preserve"> </w:t>
        </w:r>
        <w:r w:rsidR="00322780" w:rsidRPr="00CF2AD1">
          <w:rPr>
            <w:rStyle w:val="Hyperlink"/>
            <w:i/>
          </w:rPr>
          <w:t>Framework</w:t>
        </w:r>
        <w:r w:rsidR="00D4754B" w:rsidRPr="00CF2AD1">
          <w:rPr>
            <w:rStyle w:val="Hyperlink"/>
            <w:i/>
            <w:iCs/>
          </w:rPr>
          <w:t xml:space="preserve"> </w:t>
        </w:r>
        <w:r w:rsidR="00322780" w:rsidRPr="00CF2AD1">
          <w:rPr>
            <w:rStyle w:val="Hyperlink"/>
            <w:i/>
          </w:rPr>
          <w:t>self</w:t>
        </w:r>
        <w:r w:rsidR="00EF40B0">
          <w:rPr>
            <w:rStyle w:val="Hyperlink"/>
            <w:i/>
            <w:iCs/>
          </w:rPr>
          <w:noBreakHyphen/>
        </w:r>
        <w:r w:rsidR="00322780" w:rsidRPr="00CF2AD1">
          <w:rPr>
            <w:rStyle w:val="Hyperlink"/>
            <w:i/>
          </w:rPr>
          <w:t>assessment</w:t>
        </w:r>
        <w:r w:rsidR="00D4754B" w:rsidRPr="00CF2AD1">
          <w:rPr>
            <w:rStyle w:val="Hyperlink"/>
            <w:i/>
            <w:iCs/>
          </w:rPr>
          <w:t xml:space="preserve"> </w:t>
        </w:r>
        <w:r w:rsidR="00322780" w:rsidRPr="00CF2AD1">
          <w:rPr>
            <w:rStyle w:val="Hyperlink"/>
            <w:i/>
          </w:rPr>
          <w:t>report</w:t>
        </w:r>
        <w:r w:rsidR="00D4754B" w:rsidRPr="00CF2AD1">
          <w:rPr>
            <w:rStyle w:val="Hyperlink"/>
            <w:i/>
            <w:iCs/>
          </w:rPr>
          <w:t xml:space="preserve"> </w:t>
        </w:r>
        <w:r w:rsidR="00322780" w:rsidRPr="00CF2AD1">
          <w:rPr>
            <w:rStyle w:val="Hyperlink"/>
            <w:i/>
          </w:rPr>
          <w:t>2018</w:t>
        </w:r>
        <w:r w:rsidR="00EF40B0">
          <w:rPr>
            <w:rStyle w:val="Hyperlink"/>
            <w:i/>
            <w:iCs/>
          </w:rPr>
          <w:noBreakHyphen/>
        </w:r>
        <w:r w:rsidR="00322780" w:rsidRPr="00CF2AD1">
          <w:rPr>
            <w:rStyle w:val="Hyperlink"/>
            <w:i/>
          </w:rPr>
          <w:t>19</w:t>
        </w:r>
        <w:r w:rsidR="00D4754B" w:rsidRPr="00CF2AD1">
          <w:rPr>
            <w:rStyle w:val="Hyperlink"/>
            <w:i/>
            <w:iCs/>
          </w:rPr>
          <w:t>: Survey</w:t>
        </w:r>
        <w:r w:rsidR="00EF40B0">
          <w:rPr>
            <w:rStyle w:val="Hyperlink"/>
            <w:i/>
            <w:iCs/>
          </w:rPr>
          <w:noBreakHyphen/>
        </w:r>
        <w:r w:rsidR="00D4754B" w:rsidRPr="00CF2AD1">
          <w:rPr>
            <w:rStyle w:val="Hyperlink"/>
            <w:i/>
            <w:iCs/>
          </w:rPr>
          <w:t>based metrics</w:t>
        </w:r>
      </w:hyperlink>
      <w:r w:rsidR="00D4754B" w:rsidRPr="00CF2AD1">
        <w:t xml:space="preserve">, ATO website, 2020, accessed 21 July 2022, p 11; ATO, 2022, </w:t>
      </w:r>
      <w:hyperlink r:id="rId31" w:history="1">
        <w:r w:rsidR="00D4754B" w:rsidRPr="00CF2AD1">
          <w:rPr>
            <w:rStyle w:val="Hyperlink"/>
            <w:i/>
            <w:iCs/>
          </w:rPr>
          <w:t>ATO Regulator Performance Framework self</w:t>
        </w:r>
        <w:r w:rsidR="00EF40B0">
          <w:rPr>
            <w:rStyle w:val="Hyperlink"/>
            <w:i/>
            <w:iCs/>
          </w:rPr>
          <w:noBreakHyphen/>
        </w:r>
        <w:r w:rsidR="00D4754B" w:rsidRPr="00CF2AD1">
          <w:rPr>
            <w:rStyle w:val="Hyperlink"/>
            <w:i/>
            <w:iCs/>
          </w:rPr>
          <w:t>assessment report 2020</w:t>
        </w:r>
        <w:r w:rsidR="00EF40B0">
          <w:rPr>
            <w:rStyle w:val="Hyperlink"/>
            <w:i/>
            <w:iCs/>
          </w:rPr>
          <w:noBreakHyphen/>
        </w:r>
        <w:r w:rsidR="00D4754B" w:rsidRPr="00CF2AD1">
          <w:rPr>
            <w:rStyle w:val="Hyperlink"/>
            <w:i/>
            <w:iCs/>
          </w:rPr>
          <w:t>21: Survey</w:t>
        </w:r>
        <w:r w:rsidR="00EF40B0">
          <w:rPr>
            <w:rStyle w:val="Hyperlink"/>
            <w:i/>
            <w:iCs/>
          </w:rPr>
          <w:noBreakHyphen/>
        </w:r>
        <w:r w:rsidR="00D4754B" w:rsidRPr="00CF2AD1">
          <w:rPr>
            <w:rStyle w:val="Hyperlink"/>
            <w:i/>
            <w:iCs/>
          </w:rPr>
          <w:t>based metrics</w:t>
        </w:r>
      </w:hyperlink>
      <w:r w:rsidR="00D4754B" w:rsidRPr="00CF2AD1">
        <w:t>, ATO website, 2022, accessed 21 July 2022, p 13.</w:t>
      </w:r>
    </w:p>
  </w:footnote>
  <w:footnote w:id="212">
    <w:p w14:paraId="4991B832" w14:textId="3726729A" w:rsidR="00322780" w:rsidRPr="003E4EC6" w:rsidRDefault="00526D0C" w:rsidP="00322780">
      <w:pPr>
        <w:pStyle w:val="FootnoteText"/>
      </w:pPr>
      <w:r w:rsidRPr="00526D0C">
        <w:rPr>
          <w:rStyle w:val="FootnoteReference"/>
          <w:vertAlign w:val="baseline"/>
        </w:rPr>
        <w:footnoteRef/>
      </w:r>
      <w:r w:rsidR="00322780" w:rsidRPr="003E4EC6">
        <w:t xml:space="preserve"> </w:t>
      </w:r>
      <w:r w:rsidR="00422489" w:rsidRPr="003E4EC6">
        <w:tab/>
      </w:r>
      <w:r w:rsidR="00322780" w:rsidRPr="003E4EC6">
        <w:t xml:space="preserve">ASIC, </w:t>
      </w:r>
      <w:hyperlink r:id="rId32" w:history="1">
        <w:r w:rsidR="00322780" w:rsidRPr="00A7014C">
          <w:rPr>
            <w:rStyle w:val="Hyperlink"/>
            <w:i/>
          </w:rPr>
          <w:t>Statement of Intent: Australian Securities and Investments Commission – August 2021</w:t>
        </w:r>
      </w:hyperlink>
      <w:r w:rsidR="00322780" w:rsidRPr="003E4EC6">
        <w:t>,</w:t>
      </w:r>
      <w:r w:rsidR="008C4B20" w:rsidRPr="003E4EC6">
        <w:t xml:space="preserve"> </w:t>
      </w:r>
      <w:r w:rsidR="00331D0B" w:rsidRPr="00A7014C">
        <w:t>ASIC website, 2021, accessed on 21</w:t>
      </w:r>
      <w:r w:rsidR="009A0C44" w:rsidRPr="003E4EC6">
        <w:t xml:space="preserve"> July 2022.</w:t>
      </w:r>
    </w:p>
  </w:footnote>
  <w:footnote w:id="213">
    <w:p w14:paraId="76543DA3" w14:textId="2FAC0406" w:rsidR="00322780" w:rsidRDefault="00526D0C" w:rsidP="00322780">
      <w:pPr>
        <w:pStyle w:val="FootnoteText"/>
      </w:pPr>
      <w:r w:rsidRPr="00526D0C">
        <w:rPr>
          <w:rStyle w:val="FootnoteReference"/>
          <w:vertAlign w:val="baseline"/>
        </w:rPr>
        <w:footnoteRef/>
      </w:r>
      <w:r w:rsidR="00322780" w:rsidRPr="00A7014C">
        <w:t xml:space="preserve"> </w:t>
      </w:r>
      <w:r w:rsidR="00422489" w:rsidRPr="00A7014C">
        <w:tab/>
      </w:r>
      <w:r w:rsidR="0040080B" w:rsidRPr="00A7014C">
        <w:t xml:space="preserve">Department of the Prime Minister and Cabinet, </w:t>
      </w:r>
      <w:hyperlink r:id="rId33" w:history="1">
        <w:r w:rsidR="0040080B" w:rsidRPr="00A7014C">
          <w:rPr>
            <w:rStyle w:val="Hyperlink"/>
            <w:i/>
            <w:iCs/>
          </w:rPr>
          <w:t>Regulator Performance Guide</w:t>
        </w:r>
      </w:hyperlink>
      <w:r w:rsidR="0040080B" w:rsidRPr="00A7014C">
        <w:t>, Australian Government, 2021, p 5.</w:t>
      </w:r>
    </w:p>
  </w:footnote>
  <w:footnote w:id="214">
    <w:p w14:paraId="18CD9080" w14:textId="2CA92934" w:rsidR="00322780" w:rsidRDefault="00526D0C" w:rsidP="00322780">
      <w:pPr>
        <w:pStyle w:val="FootnoteText"/>
      </w:pPr>
      <w:r w:rsidRPr="00526D0C">
        <w:rPr>
          <w:rStyle w:val="FootnoteReference"/>
          <w:vertAlign w:val="baseline"/>
        </w:rPr>
        <w:footnoteRef/>
      </w:r>
      <w:r w:rsidR="00322780" w:rsidRPr="00A7014C">
        <w:t xml:space="preserve"> </w:t>
      </w:r>
      <w:r w:rsidR="00422489" w:rsidRPr="00A7014C">
        <w:tab/>
      </w:r>
      <w:r w:rsidR="00A7014C" w:rsidRPr="00A7014C">
        <w:t xml:space="preserve">ASIC, </w:t>
      </w:r>
      <w:hyperlink r:id="rId34" w:history="1">
        <w:r w:rsidR="00A7014C" w:rsidRPr="00A7014C">
          <w:rPr>
            <w:rStyle w:val="Hyperlink"/>
            <w:i/>
            <w:iCs/>
          </w:rPr>
          <w:t>Corporate Plan 2021–25</w:t>
        </w:r>
        <w:r w:rsidR="00AF45AF">
          <w:rPr>
            <w:rStyle w:val="Hyperlink"/>
            <w:i/>
            <w:iCs/>
          </w:rPr>
          <w:t>:</w:t>
        </w:r>
        <w:r w:rsidR="00D22587" w:rsidRPr="00A7014C">
          <w:rPr>
            <w:rStyle w:val="Hyperlink"/>
            <w:i/>
            <w:iCs/>
          </w:rPr>
          <w:t xml:space="preserve"> Focus</w:t>
        </w:r>
        <w:r w:rsidR="00A7014C" w:rsidRPr="00A7014C">
          <w:rPr>
            <w:rStyle w:val="Hyperlink"/>
            <w:i/>
            <w:iCs/>
          </w:rPr>
          <w:t xml:space="preserve"> 2021–22</w:t>
        </w:r>
      </w:hyperlink>
      <w:r w:rsidR="00A7014C" w:rsidRPr="00A7014C">
        <w:rPr>
          <w:rStyle w:val="Hyperlink"/>
        </w:rPr>
        <w:t>, ASIC website, 2021, accessed 21 July 2022.</w:t>
      </w:r>
    </w:p>
  </w:footnote>
  <w:footnote w:id="215">
    <w:p w14:paraId="212D42C3" w14:textId="034E7535" w:rsidR="00322780" w:rsidRDefault="00526D0C" w:rsidP="00322780">
      <w:pPr>
        <w:pStyle w:val="FootnoteText"/>
      </w:pPr>
      <w:r w:rsidRPr="00526D0C">
        <w:rPr>
          <w:rStyle w:val="FootnoteReference"/>
          <w:vertAlign w:val="baseline"/>
        </w:rPr>
        <w:footnoteRef/>
      </w:r>
      <w:r w:rsidR="00322780">
        <w:t xml:space="preserve"> </w:t>
      </w:r>
      <w:r w:rsidR="00422489">
        <w:tab/>
      </w:r>
      <w:r w:rsidR="00AB26F7">
        <w:t xml:space="preserve">Department of </w:t>
      </w:r>
      <w:r w:rsidR="00B340ED">
        <w:t>the</w:t>
      </w:r>
      <w:r w:rsidR="00AB26F7">
        <w:t xml:space="preserve"> Prime Minister and Cabinet, </w:t>
      </w:r>
      <w:hyperlink r:id="rId35" w:history="1">
        <w:r w:rsidR="00322780" w:rsidRPr="00DA11BF">
          <w:rPr>
            <w:rStyle w:val="Hyperlink"/>
            <w:i/>
          </w:rPr>
          <w:t>Regulator Performance Guide</w:t>
        </w:r>
      </w:hyperlink>
      <w:r w:rsidR="009B786D" w:rsidRPr="00DA11BF">
        <w:t>, Australian Government, 2021, p</w:t>
      </w:r>
      <w:r w:rsidR="009B786D">
        <w:t xml:space="preserve"> 8.</w:t>
      </w:r>
    </w:p>
  </w:footnote>
  <w:footnote w:id="216">
    <w:p w14:paraId="6066F886" w14:textId="770AC3F6" w:rsidR="00322780" w:rsidRDefault="00526D0C" w:rsidP="00322780">
      <w:pPr>
        <w:pStyle w:val="FootnoteText"/>
      </w:pPr>
      <w:r w:rsidRPr="00526D0C">
        <w:rPr>
          <w:rStyle w:val="FootnoteReference"/>
          <w:vertAlign w:val="baseline"/>
        </w:rPr>
        <w:footnoteRef/>
      </w:r>
      <w:r w:rsidR="00322780">
        <w:t xml:space="preserve"> </w:t>
      </w:r>
      <w:r w:rsidR="00422489">
        <w:tab/>
      </w:r>
      <w:r w:rsidR="00AB26F7">
        <w:t xml:space="preserve">Department of </w:t>
      </w:r>
      <w:r w:rsidR="00B340ED">
        <w:t>the</w:t>
      </w:r>
      <w:r w:rsidR="00AB26F7">
        <w:t xml:space="preserve"> Prime Minister and Cabinet, </w:t>
      </w:r>
      <w:hyperlink r:id="rId36" w:history="1">
        <w:r w:rsidR="00322780" w:rsidRPr="00DA11BF">
          <w:rPr>
            <w:rStyle w:val="Hyperlink"/>
            <w:i/>
          </w:rPr>
          <w:t>Regulator Performance Guide</w:t>
        </w:r>
      </w:hyperlink>
      <w:r w:rsidR="005E512E" w:rsidRPr="00DA11BF">
        <w:t>, Australian Government, 2021, p</w:t>
      </w:r>
      <w:r w:rsidR="005E512E">
        <w:t xml:space="preserve"> 7.</w:t>
      </w:r>
    </w:p>
  </w:footnote>
  <w:footnote w:id="217">
    <w:p w14:paraId="0FB1A4B0" w14:textId="2325D725" w:rsidR="0087332D" w:rsidRDefault="00526D0C" w:rsidP="0087332D">
      <w:pPr>
        <w:pStyle w:val="FootnoteText"/>
      </w:pPr>
      <w:r w:rsidRPr="00526D0C">
        <w:rPr>
          <w:rStyle w:val="FootnoteReference"/>
          <w:vertAlign w:val="baseline"/>
        </w:rPr>
        <w:footnoteRef/>
      </w:r>
      <w:r w:rsidR="0087332D">
        <w:t xml:space="preserve"> </w:t>
      </w:r>
      <w:r w:rsidR="00422489">
        <w:tab/>
      </w:r>
      <w:r w:rsidR="00CE1027">
        <w:t>FRAA</w:t>
      </w:r>
      <w:r w:rsidR="00EE743F">
        <w:t xml:space="preserve">, </w:t>
      </w:r>
      <w:r w:rsidR="008D13ED">
        <w:t>consultation paper,</w:t>
      </w:r>
      <w:r w:rsidR="00EE743F">
        <w:t xml:space="preserve"> </w:t>
      </w:r>
      <w:hyperlink r:id="rId37" w:history="1">
        <w:r w:rsidR="00EE743F" w:rsidRPr="008F6195">
          <w:rPr>
            <w:rStyle w:val="Hyperlink"/>
          </w:rPr>
          <w:t xml:space="preserve">Scope of assessment </w:t>
        </w:r>
        <w:r w:rsidR="00B44372" w:rsidRPr="008F6195">
          <w:rPr>
            <w:rStyle w:val="Hyperlink"/>
          </w:rPr>
          <w:t xml:space="preserve">of the Australian Securities and Investments Commission, </w:t>
        </w:r>
        <w:r w:rsidR="00A062AF" w:rsidRPr="008F6195">
          <w:rPr>
            <w:rStyle w:val="Hyperlink"/>
          </w:rPr>
          <w:t xml:space="preserve">29 November </w:t>
        </w:r>
        <w:r w:rsidR="00E804B7" w:rsidRPr="008F6195">
          <w:rPr>
            <w:rStyle w:val="Hyperlink"/>
          </w:rPr>
          <w:t>2021 – 28 January 2022</w:t>
        </w:r>
      </w:hyperlink>
      <w:r w:rsidR="00B5305B">
        <w:t>, a</w:t>
      </w:r>
      <w:r w:rsidR="00B4529C">
        <w:t xml:space="preserve">ccessed </w:t>
      </w:r>
      <w:r w:rsidR="00C023DD">
        <w:t>26 July 2022.</w:t>
      </w:r>
    </w:p>
  </w:footnote>
  <w:footnote w:id="218">
    <w:p w14:paraId="2D07A6E4" w14:textId="0F7E28B2" w:rsidR="0087332D" w:rsidRDefault="00526D0C" w:rsidP="0087332D">
      <w:pPr>
        <w:pStyle w:val="FootnoteText"/>
      </w:pPr>
      <w:r w:rsidRPr="00526D0C">
        <w:rPr>
          <w:rStyle w:val="FootnoteReference"/>
          <w:vertAlign w:val="baseline"/>
        </w:rPr>
        <w:footnoteRef/>
      </w:r>
      <w:r w:rsidR="0087332D">
        <w:t xml:space="preserve"> </w:t>
      </w:r>
      <w:r w:rsidR="00422489">
        <w:tab/>
      </w:r>
      <w:r w:rsidR="0087332D">
        <w:t>Public submissions are available on the FRAA website</w:t>
      </w:r>
      <w:r w:rsidR="00986B2B">
        <w:t xml:space="preserve"> at </w:t>
      </w:r>
      <w:hyperlink r:id="rId38" w:history="1">
        <w:r w:rsidR="00986B2B" w:rsidRPr="0075168E">
          <w:rPr>
            <w:rStyle w:val="Hyperlink"/>
          </w:rPr>
          <w:t>fraa</w:t>
        </w:r>
        <w:r w:rsidR="0075168E" w:rsidRPr="0075168E">
          <w:rPr>
            <w:rStyle w:val="Hyperlink"/>
          </w:rPr>
          <w:t>.gov.au</w:t>
        </w:r>
      </w:hyperlink>
      <w:r w:rsidR="00736165">
        <w:t>.</w:t>
      </w:r>
    </w:p>
  </w:footnote>
  <w:footnote w:id="219">
    <w:p w14:paraId="05A298A5" w14:textId="13BA0560" w:rsidR="001C3A18" w:rsidRDefault="00526D0C" w:rsidP="00526D0C">
      <w:pPr>
        <w:pStyle w:val="FootnoteText"/>
      </w:pPr>
      <w:r w:rsidRPr="00526D0C">
        <w:rPr>
          <w:rStyle w:val="FootnoteReference"/>
          <w:vertAlign w:val="baseline"/>
        </w:rPr>
        <w:footnoteRef/>
      </w:r>
      <w:r w:rsidR="001C3A18">
        <w:t xml:space="preserve"> </w:t>
      </w:r>
      <w:r>
        <w:tab/>
      </w:r>
      <w:r w:rsidR="001C3A18">
        <w:t>Cathie Armour</w:t>
      </w:r>
      <w:r w:rsidR="00EF40B0">
        <w:t>’</w:t>
      </w:r>
      <w:r w:rsidR="001C3A18">
        <w:t>s term as Commissioner concluded in June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882FC" w14:textId="5DD02527" w:rsidR="004C0BA7" w:rsidRPr="001F3912" w:rsidRDefault="00A6032A" w:rsidP="00A12F62">
    <w:pPr>
      <w:pStyle w:val="HeaderEven"/>
    </w:pPr>
    <w:fldSimple w:instr="STYLEREF  &quot;Title&quot;  \* MERGEFORMAT">
      <w:r w:rsidR="00D718CA">
        <w:rPr>
          <w:noProof/>
        </w:rPr>
        <w:t>Effectiveness and Capability Review of the Australian Securities and Investments Commission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16662" w14:textId="1A1F741D" w:rsidR="004C0BA7" w:rsidRPr="00F836F9" w:rsidRDefault="004C0BA7" w:rsidP="00F836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57B86" w14:textId="77777777" w:rsidR="004C0BA7" w:rsidRDefault="004C0B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F27EA" w14:textId="5082231A" w:rsidR="004C0BA7" w:rsidRPr="001F3912" w:rsidRDefault="00A6032A" w:rsidP="00A12F62">
    <w:pPr>
      <w:pStyle w:val="HeaderEven"/>
    </w:pPr>
    <w:fldSimple w:instr="STYLEREF  Title  \* MERGEFORMAT">
      <w:r w:rsidR="00D718CA">
        <w:rPr>
          <w:noProof/>
        </w:rPr>
        <w:t>Effectiveness and Capability Review of the Australian Securities and Investments Commission</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F220F" w14:textId="2DB2463D" w:rsidR="004C0BA7" w:rsidRPr="001F3912" w:rsidRDefault="00A6032A" w:rsidP="00A12F62">
    <w:pPr>
      <w:pStyle w:val="HeaderOdd"/>
    </w:pPr>
    <w:fldSimple w:instr="STYLEREF  &quot;Heading 1&quot;  \* MERGEFORMAT">
      <w:r w:rsidR="00D718CA">
        <w:rPr>
          <w:noProof/>
        </w:rPr>
        <w:t>Executive summary</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8764C" w14:textId="77777777" w:rsidR="004C0BA7" w:rsidRDefault="004C0B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E7F27" w14:textId="009FED42" w:rsidR="00040B78" w:rsidRDefault="00A6032A" w:rsidP="00A12F62">
    <w:pPr>
      <w:pStyle w:val="HeaderOdd"/>
    </w:pPr>
    <w:fldSimple w:instr=" STYLEREF  &quot;Heading 1&quot;  \* MERGEFORMAT ">
      <w:r w:rsidR="00D718CA">
        <w:rPr>
          <w:noProof/>
        </w:rPr>
        <w:t>Chapter 1: FRAA objectives and methodology</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954CC"/>
    <w:multiLevelType w:val="multilevel"/>
    <w:tmpl w:val="D10E9CF6"/>
    <w:numStyleLink w:val="OneLevelList"/>
  </w:abstractNum>
  <w:abstractNum w:abstractNumId="1" w15:restartNumberingAfterBreak="0">
    <w:nsid w:val="07ED3FC7"/>
    <w:multiLevelType w:val="multilevel"/>
    <w:tmpl w:val="79E48CD8"/>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1805399D"/>
    <w:multiLevelType w:val="multilevel"/>
    <w:tmpl w:val="1EE0D6DC"/>
    <w:styleLink w:val="BulletedList1"/>
    <w:lvl w:ilvl="0">
      <w:start w:val="1"/>
      <w:numFmt w:val="decimal"/>
      <w:lvlText w:val="%1"/>
      <w:lvlJc w:val="left"/>
      <w:pPr>
        <w:ind w:left="360" w:hanging="360"/>
      </w:pPr>
      <w:rPr>
        <w:rFonts w:hint="default"/>
      </w:rPr>
    </w:lvl>
    <w:lvl w:ilvl="1">
      <w:start w:val="1"/>
      <w:numFmt w:val="decimal"/>
      <w:lvlText w:val="%1.%2"/>
      <w:lvlJc w:val="left"/>
      <w:pPr>
        <w:ind w:left="3338" w:hanging="360"/>
      </w:pPr>
      <w:rPr>
        <w:rFonts w:hint="default"/>
        <w:sz w:val="22"/>
        <w:szCs w:val="22"/>
      </w:rPr>
    </w:lvl>
    <w:lvl w:ilvl="2">
      <w:start w:val="1"/>
      <w:numFmt w:val="decima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147694"/>
    <w:multiLevelType w:val="multilevel"/>
    <w:tmpl w:val="13226DC0"/>
    <w:lvl w:ilvl="0">
      <w:start w:val="1"/>
      <w:numFmt w:val="decimal"/>
      <w:lvlText w:val="%1."/>
      <w:lvlJc w:val="left"/>
      <w:pPr>
        <w:tabs>
          <w:tab w:val="num" w:pos="614"/>
        </w:tabs>
        <w:ind w:left="614" w:hanging="614"/>
      </w:pPr>
    </w:lvl>
    <w:lvl w:ilvl="1">
      <w:start w:val="1"/>
      <w:numFmt w:val="decimal"/>
      <w:pStyle w:val="SingleParagraph"/>
      <w:lvlText w:val="%1.%2."/>
      <w:lvlJc w:val="left"/>
      <w:pPr>
        <w:tabs>
          <w:tab w:val="num" w:pos="1228"/>
        </w:tabs>
        <w:ind w:left="1228" w:hanging="614"/>
      </w:pPr>
    </w:lvl>
    <w:lvl w:ilvl="2">
      <w:start w:val="1"/>
      <w:numFmt w:val="decimal"/>
      <w:pStyle w:val="TableColumnHeadingCentred"/>
      <w:lvlText w:val="%1.%2.%3."/>
      <w:lvlJc w:val="left"/>
      <w:pPr>
        <w:tabs>
          <w:tab w:val="num" w:pos="1842"/>
        </w:tabs>
        <w:ind w:left="1842" w:hanging="614"/>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E322A9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10E3F82"/>
    <w:multiLevelType w:val="multilevel"/>
    <w:tmpl w:val="8482175C"/>
    <w:lvl w:ilvl="0">
      <w:start w:val="2"/>
      <w:numFmt w:val="decimal"/>
      <w:lvlText w:val="%1.1"/>
      <w:lvlJc w:val="left"/>
      <w:pPr>
        <w:ind w:left="570" w:hanging="570"/>
      </w:pPr>
    </w:lvl>
    <w:lvl w:ilvl="1">
      <w:start w:val="1"/>
      <w:numFmt w:val="decimal"/>
      <w:lvlText w:val="%1.%2"/>
      <w:lvlJc w:val="left"/>
      <w:pPr>
        <w:ind w:left="570" w:hanging="570"/>
      </w:pPr>
      <w:rPr>
        <w:sz w:val="22"/>
        <w:szCs w:val="22"/>
      </w:rPr>
    </w:lvl>
    <w:lvl w:ilvl="2">
      <w:start w:val="1"/>
      <w:numFmt w:val="decimal"/>
      <w:lvlText w:val="%1.%2.%3"/>
      <w:lvlJc w:val="left"/>
      <w:pPr>
        <w:ind w:left="788" w:hanging="720"/>
      </w:pPr>
    </w:lvl>
    <w:lvl w:ilvl="3">
      <w:start w:val="1"/>
      <w:numFmt w:val="decimal"/>
      <w:lvlText w:val="%1.%2.%3.%4"/>
      <w:lvlJc w:val="left"/>
      <w:pPr>
        <w:ind w:left="822" w:hanging="720"/>
      </w:pPr>
    </w:lvl>
    <w:lvl w:ilvl="4">
      <w:start w:val="1"/>
      <w:numFmt w:val="decimal"/>
      <w:lvlText w:val="%1.%2.%3.%4.%5"/>
      <w:lvlJc w:val="left"/>
      <w:pPr>
        <w:ind w:left="1216" w:hanging="1080"/>
      </w:pPr>
    </w:lvl>
    <w:lvl w:ilvl="5">
      <w:start w:val="1"/>
      <w:numFmt w:val="decimal"/>
      <w:lvlText w:val="%1.%2.%3.%4.%5.%6"/>
      <w:lvlJc w:val="left"/>
      <w:pPr>
        <w:ind w:left="1250" w:hanging="1080"/>
      </w:pPr>
    </w:lvl>
    <w:lvl w:ilvl="6">
      <w:start w:val="1"/>
      <w:numFmt w:val="decimal"/>
      <w:lvlText w:val="%1.%2.%3.%4.%5.%6.%7"/>
      <w:lvlJc w:val="left"/>
      <w:pPr>
        <w:ind w:left="1644" w:hanging="1440"/>
      </w:pPr>
    </w:lvl>
    <w:lvl w:ilvl="7">
      <w:start w:val="1"/>
      <w:numFmt w:val="decimal"/>
      <w:lvlText w:val="%1.%2.%3.%4.%5.%6.%7.%8"/>
      <w:lvlJc w:val="left"/>
      <w:pPr>
        <w:ind w:left="1678" w:hanging="1440"/>
      </w:pPr>
    </w:lvl>
    <w:lvl w:ilvl="8">
      <w:start w:val="1"/>
      <w:numFmt w:val="decimal"/>
      <w:lvlText w:val="%1.%2.%3.%4.%5.%6.%7.%8.%9"/>
      <w:lvlJc w:val="left"/>
      <w:pPr>
        <w:ind w:left="2072" w:hanging="1800"/>
      </w:pPr>
    </w:lvl>
  </w:abstractNum>
  <w:abstractNum w:abstractNumId="6" w15:restartNumberingAfterBreak="0">
    <w:nsid w:val="23367541"/>
    <w:multiLevelType w:val="multilevel"/>
    <w:tmpl w:val="2880174E"/>
    <w:styleLink w:val="BulletedList"/>
    <w:lvl w:ilvl="0">
      <w:start w:val="1"/>
      <w:numFmt w:val="bullet"/>
      <w:lvlText w:val=""/>
      <w:lvlJc w:val="left"/>
      <w:pPr>
        <w:tabs>
          <w:tab w:val="num" w:pos="1087"/>
        </w:tabs>
        <w:ind w:left="1087" w:hanging="520"/>
      </w:pPr>
      <w:rPr>
        <w:rFonts w:ascii="Symbol" w:hAnsi="Symbol" w:hint="default"/>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A815CF7"/>
    <w:multiLevelType w:val="multilevel"/>
    <w:tmpl w:val="79648700"/>
    <w:name w:val="StandardBulletedList"/>
    <w:lvl w:ilvl="0">
      <w:start w:val="1"/>
      <w:numFmt w:val="bullet"/>
      <w:pStyle w:val="Bullet"/>
      <w:lvlText w:val="•"/>
      <w:lvlJc w:val="left"/>
      <w:pPr>
        <w:tabs>
          <w:tab w:val="num" w:pos="851"/>
        </w:tabs>
        <w:ind w:left="851" w:hanging="284"/>
      </w:pPr>
      <w:rPr>
        <w:rFonts w:ascii="Times New Roman" w:hAnsi="Times New Roman" w:cs="Times New Roman" w:hint="default"/>
      </w:rPr>
    </w:lvl>
    <w:lvl w:ilvl="1">
      <w:start w:val="1"/>
      <w:numFmt w:val="bullet"/>
      <w:pStyle w:val="Dash"/>
      <w:lvlText w:val="–"/>
      <w:lvlJc w:val="left"/>
      <w:pPr>
        <w:tabs>
          <w:tab w:val="num" w:pos="851"/>
        </w:tabs>
        <w:ind w:left="1134" w:hanging="283"/>
      </w:pPr>
      <w:rPr>
        <w:rFonts w:ascii="Times New Roman" w:hAnsi="Times New Roman" w:cs="Times New Roman" w:hint="default"/>
      </w:rPr>
    </w:lvl>
    <w:lvl w:ilvl="2">
      <w:start w:val="1"/>
      <w:numFmt w:val="bullet"/>
      <w:pStyle w:val="DoubleDo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F092097"/>
    <w:multiLevelType w:val="hybridMultilevel"/>
    <w:tmpl w:val="3A9A8FD2"/>
    <w:lvl w:ilvl="0" w:tplc="EB0A94CE">
      <w:start w:val="1"/>
      <w:numFmt w:val="decimal"/>
      <w:lvlText w:val="6.%1"/>
      <w:lvlJc w:val="left"/>
      <w:pPr>
        <w:ind w:left="720" w:hanging="360"/>
      </w:pPr>
      <w:rPr>
        <w:rFonts w:asciiTheme="minorHAnsi" w:hAnsiTheme="minorHAnsi" w:cstheme="minorHAnsi" w:hint="default"/>
        <w:b w:val="0"/>
        <w:bCs w:val="0"/>
        <w:i w:val="0"/>
        <w:iCs w:val="0"/>
        <w:color w:val="auto"/>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8C2710"/>
    <w:multiLevelType w:val="multilevel"/>
    <w:tmpl w:val="0C09001D"/>
    <w:lvl w:ilvl="0">
      <w:start w:val="1"/>
      <w:numFmt w:val="decimal"/>
      <w:lvlText w:val="%1)"/>
      <w:lvlJc w:val="left"/>
      <w:pPr>
        <w:ind w:left="360" w:hanging="360"/>
      </w:pPr>
      <w:rPr>
        <w:rFonts w:hint="default"/>
        <w:b w:val="0"/>
        <w:i w:val="0"/>
      </w:rPr>
    </w:lvl>
    <w:lvl w:ilvl="1">
      <w:start w:val="1"/>
      <w:numFmt w:val="lowerLetter"/>
      <w:lvlText w:val="%2)"/>
      <w:lvlJc w:val="left"/>
      <w:pPr>
        <w:ind w:left="720" w:hanging="360"/>
      </w:pPr>
      <w:rPr>
        <w:rFonts w:hint="default"/>
        <w:b w:val="0"/>
        <w:i w:val="0"/>
      </w:rPr>
    </w:lvl>
    <w:lvl w:ilvl="2">
      <w:start w:val="1"/>
      <w:numFmt w:val="lowerRoman"/>
      <w:lvlText w:val="%3)"/>
      <w:lvlJc w:val="left"/>
      <w:pPr>
        <w:ind w:left="1080" w:hanging="360"/>
      </w:pPr>
      <w:rPr>
        <w:rFonts w:hint="default"/>
        <w:b w:val="0"/>
        <w:i w:val="0"/>
      </w:r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lowerRoman"/>
      <w:lvlText w:val="(%6)"/>
      <w:lvlJc w:val="left"/>
      <w:pPr>
        <w:ind w:left="2160" w:hanging="360"/>
      </w:pPr>
      <w:rPr>
        <w:b w:val="0"/>
        <w:i w:val="0"/>
      </w:rPr>
    </w:lvl>
    <w:lvl w:ilvl="6">
      <w:start w:val="1"/>
      <w:numFmt w:val="decimal"/>
      <w:lvlText w:val="%7."/>
      <w:lvlJc w:val="left"/>
      <w:pPr>
        <w:ind w:left="2520" w:hanging="360"/>
      </w:pPr>
      <w:rPr>
        <w:b w:val="0"/>
        <w:i w:val="0"/>
      </w:rPr>
    </w:lvl>
    <w:lvl w:ilvl="7">
      <w:start w:val="1"/>
      <w:numFmt w:val="lowerLetter"/>
      <w:lvlText w:val="%8."/>
      <w:lvlJc w:val="left"/>
      <w:pPr>
        <w:ind w:left="2880" w:hanging="360"/>
      </w:pPr>
      <w:rPr>
        <w:b w:val="0"/>
        <w:i w:val="0"/>
      </w:rPr>
    </w:lvl>
    <w:lvl w:ilvl="8">
      <w:start w:val="1"/>
      <w:numFmt w:val="lowerRoman"/>
      <w:lvlText w:val="%9."/>
      <w:lvlJc w:val="left"/>
      <w:pPr>
        <w:ind w:left="3240" w:hanging="360"/>
      </w:pPr>
      <w:rPr>
        <w:b w:val="0"/>
        <w:i w:val="0"/>
      </w:rPr>
    </w:lvl>
  </w:abstractNum>
  <w:abstractNum w:abstractNumId="11" w15:restartNumberingAfterBreak="0">
    <w:nsid w:val="31FF315D"/>
    <w:multiLevelType w:val="multilevel"/>
    <w:tmpl w:val="713C7482"/>
    <w:lvl w:ilvl="0">
      <w:start w:val="1"/>
      <w:numFmt w:val="decimal"/>
      <w:lvlText w:val="%1"/>
      <w:lvlJc w:val="left"/>
      <w:pPr>
        <w:ind w:left="360" w:hanging="360"/>
      </w:pPr>
      <w:rPr>
        <w:rFonts w:hint="default"/>
      </w:rPr>
    </w:lvl>
    <w:lvl w:ilvl="1">
      <w:start w:val="1"/>
      <w:numFmt w:val="decimal"/>
      <w:lvlText w:val="1.%2"/>
      <w:lvlJc w:val="left"/>
      <w:pPr>
        <w:tabs>
          <w:tab w:val="num" w:pos="567"/>
        </w:tabs>
        <w:ind w:left="567" w:hanging="567"/>
      </w:pPr>
      <w:rPr>
        <w:rFonts w:hint="default"/>
        <w:sz w:val="22"/>
        <w:szCs w:val="22"/>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238442C"/>
    <w:multiLevelType w:val="multilevel"/>
    <w:tmpl w:val="B91AC3AC"/>
    <w:styleLink w:val="ChartandTableFootnoteAlphaList"/>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C584519"/>
    <w:multiLevelType w:val="hybridMultilevel"/>
    <w:tmpl w:val="FFD2CB2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B354DD"/>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EA869D0"/>
    <w:multiLevelType w:val="multilevel"/>
    <w:tmpl w:val="DDAA41E2"/>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13B3E44"/>
    <w:multiLevelType w:val="multilevel"/>
    <w:tmpl w:val="CEFE983E"/>
    <w:lvl w:ilvl="0">
      <w:start w:val="1"/>
      <w:numFmt w:val="decimal"/>
      <w:lvlText w:val="%1."/>
      <w:lvlJc w:val="left"/>
      <w:pPr>
        <w:tabs>
          <w:tab w:val="num" w:pos="851"/>
        </w:tabs>
        <w:ind w:left="851" w:hanging="851"/>
      </w:pPr>
      <w:rPr>
        <w:rFonts w:hint="default"/>
      </w:rPr>
    </w:lvl>
    <w:lvl w:ilvl="1">
      <w:start w:val="1"/>
      <w:numFmt w:val="lowerLetter"/>
      <w:lvlText w:val="%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BCF7790"/>
    <w:multiLevelType w:val="multilevel"/>
    <w:tmpl w:val="686EB4F8"/>
    <w:lvl w:ilvl="0">
      <w:start w:val="1"/>
      <w:numFmt w:val="decimal"/>
      <w:lvlText w:val="5.%1"/>
      <w:lvlJc w:val="left"/>
      <w:pPr>
        <w:ind w:left="567" w:hanging="567"/>
      </w:pPr>
      <w:rPr>
        <w:rFonts w:hint="default"/>
        <w:sz w:val="22"/>
        <w:szCs w:val="20"/>
      </w:rPr>
    </w:lvl>
    <w:lvl w:ilvl="1">
      <w:start w:val="1"/>
      <w:numFmt w:val="none"/>
      <w:lvlText w:val=""/>
      <w:lvlJc w:val="left"/>
      <w:pPr>
        <w:ind w:left="3338" w:hanging="360"/>
      </w:pPr>
      <w:rPr>
        <w:rFonts w:hint="default"/>
        <w:sz w:val="22"/>
        <w:szCs w:val="22"/>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21C51CE"/>
    <w:multiLevelType w:val="multilevel"/>
    <w:tmpl w:val="D10E9CF6"/>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57A74A1"/>
    <w:multiLevelType w:val="multilevel"/>
    <w:tmpl w:val="0C708886"/>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bullet"/>
      <w:lvlText w:val="—"/>
      <w:lvlJc w:val="left"/>
      <w:pPr>
        <w:tabs>
          <w:tab w:val="num" w:pos="1440"/>
        </w:tabs>
        <w:ind w:left="1440" w:hanging="360"/>
      </w:pPr>
      <w:rPr>
        <w:rFonts w:ascii="Calibri" w:hAnsi="Calibri"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1" w15:restartNumberingAfterBreak="0">
    <w:nsid w:val="56BA586B"/>
    <w:multiLevelType w:val="multilevel"/>
    <w:tmpl w:val="98E2A54C"/>
    <w:lvl w:ilvl="0">
      <w:start w:val="1"/>
      <w:numFmt w:val="decimal"/>
      <w:lvlText w:val="3.%1"/>
      <w:lvlJc w:val="left"/>
      <w:pPr>
        <w:ind w:left="360" w:hanging="360"/>
      </w:pPr>
      <w:rPr>
        <w:rFonts w:hint="default"/>
      </w:rPr>
    </w:lvl>
    <w:lvl w:ilvl="1">
      <w:start w:val="1"/>
      <w:numFmt w:val="none"/>
      <w:lvlText w:val=""/>
      <w:lvlJc w:val="left"/>
      <w:pPr>
        <w:ind w:left="3338" w:hanging="360"/>
      </w:pPr>
      <w:rPr>
        <w:rFonts w:hint="default"/>
        <w:sz w:val="22"/>
        <w:szCs w:val="22"/>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B144DC5"/>
    <w:multiLevelType w:val="hybridMultilevel"/>
    <w:tmpl w:val="9D0C6AE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02FBA"/>
    <w:multiLevelType w:val="hybridMultilevel"/>
    <w:tmpl w:val="653E7E0C"/>
    <w:lvl w:ilvl="0" w:tplc="D12C2EEA">
      <w:start w:val="1"/>
      <w:numFmt w:val="decimal"/>
      <w:lvlText w:val="4.%1"/>
      <w:lvlJc w:val="left"/>
      <w:pPr>
        <w:ind w:left="360" w:hanging="360"/>
      </w:pPr>
      <w:rPr>
        <w:rFonts w:asciiTheme="minorHAnsi" w:hAnsiTheme="minorHAnsi" w:cstheme="minorHAnsi" w:hint="default"/>
        <w:b w:val="0"/>
        <w:bCs w:val="0"/>
        <w:i w:val="0"/>
        <w:iCs w:val="0"/>
        <w:color w:val="auto"/>
        <w:sz w:val="22"/>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4" w15:restartNumberingAfterBreak="0">
    <w:nsid w:val="65356244"/>
    <w:multiLevelType w:val="multilevel"/>
    <w:tmpl w:val="3C529CC4"/>
    <w:name w:val="StandardNumberedList"/>
    <w:lvl w:ilvl="0">
      <w:start w:val="1"/>
      <w:numFmt w:val="decimal"/>
      <w:pStyle w:val="OutlineNumbered1"/>
      <w:lvlText w:val="%1."/>
      <w:lvlJc w:val="left"/>
      <w:pPr>
        <w:tabs>
          <w:tab w:val="num" w:pos="520"/>
        </w:tabs>
        <w:ind w:left="520" w:hanging="520"/>
      </w:pPr>
      <w:rPr>
        <w:sz w:val="22"/>
        <w:szCs w:val="22"/>
      </w:r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8426974"/>
    <w:multiLevelType w:val="multilevel"/>
    <w:tmpl w:val="0B10B20E"/>
    <w:lvl w:ilvl="0">
      <w:start w:val="1"/>
      <w:numFmt w:val="decimal"/>
      <w:lvlText w:val="4.%1"/>
      <w:lvlJc w:val="left"/>
      <w:pPr>
        <w:ind w:left="567" w:hanging="567"/>
      </w:pPr>
      <w:rPr>
        <w:rFonts w:hint="default"/>
        <w:sz w:val="22"/>
        <w:szCs w:val="20"/>
      </w:rPr>
    </w:lvl>
    <w:lvl w:ilvl="1">
      <w:start w:val="1"/>
      <w:numFmt w:val="none"/>
      <w:lvlText w:val=""/>
      <w:lvlJc w:val="left"/>
      <w:pPr>
        <w:ind w:left="3338" w:hanging="360"/>
      </w:pPr>
      <w:rPr>
        <w:rFonts w:hint="default"/>
        <w:sz w:val="22"/>
        <w:szCs w:val="22"/>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AD763C3"/>
    <w:multiLevelType w:val="multilevel"/>
    <w:tmpl w:val="98E2A54C"/>
    <w:lvl w:ilvl="0">
      <w:start w:val="1"/>
      <w:numFmt w:val="decimal"/>
      <w:lvlText w:val="3.%1"/>
      <w:lvlJc w:val="left"/>
      <w:pPr>
        <w:ind w:left="360" w:hanging="360"/>
      </w:pPr>
      <w:rPr>
        <w:rFonts w:hint="default"/>
      </w:rPr>
    </w:lvl>
    <w:lvl w:ilvl="1">
      <w:start w:val="1"/>
      <w:numFmt w:val="none"/>
      <w:lvlText w:val=""/>
      <w:lvlJc w:val="left"/>
      <w:pPr>
        <w:ind w:left="3338" w:hanging="360"/>
      </w:pPr>
      <w:rPr>
        <w:rFonts w:hint="default"/>
        <w:sz w:val="22"/>
        <w:szCs w:val="22"/>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24"/>
  </w:num>
  <w:num w:numId="3">
    <w:abstractNumId w:val="16"/>
  </w:num>
  <w:num w:numId="4">
    <w:abstractNumId w:val="3"/>
  </w:num>
  <w:num w:numId="5">
    <w:abstractNumId w:val="1"/>
  </w:num>
  <w:num w:numId="6">
    <w:abstractNumId w:val="6"/>
  </w:num>
  <w:num w:numId="7">
    <w:abstractNumId w:val="10"/>
    <w:lvlOverride w:ilvl="0">
      <w:lvl w:ilvl="0">
        <w:start w:val="1"/>
        <w:numFmt w:val="bullet"/>
        <w:lvlRestart w:val="0"/>
        <w:lvlText w:val="•"/>
        <w:lvlJc w:val="left"/>
        <w:pPr>
          <w:tabs>
            <w:tab w:val="num" w:pos="425"/>
          </w:tabs>
          <w:ind w:left="425" w:hanging="283"/>
        </w:pPr>
        <w:rPr>
          <w:rFonts w:ascii="Times New Roman" w:hAnsi="Times New Roman" w:cs="Times New Roman" w:hint="default"/>
          <w:b w:val="0"/>
          <w:i w:val="0"/>
        </w:rPr>
      </w:lvl>
    </w:lvlOverride>
  </w:num>
  <w:num w:numId="8">
    <w:abstractNumId w:val="12"/>
  </w:num>
  <w:num w:numId="9">
    <w:abstractNumId w:val="10"/>
    <w:lvlOverride w:ilvl="0">
      <w:lvl w:ilvl="0">
        <w:start w:val="1"/>
        <w:numFmt w:val="bullet"/>
        <w:lvlRestart w:val="0"/>
        <w:lvlText w:val="•"/>
        <w:lvlJc w:val="left"/>
        <w:pPr>
          <w:tabs>
            <w:tab w:val="num" w:pos="803"/>
          </w:tabs>
          <w:ind w:left="803" w:hanging="283"/>
        </w:pPr>
        <w:rPr>
          <w:rFonts w:ascii="Times New Roman" w:hAnsi="Times New Roman" w:cs="Times New Roman" w:hint="default"/>
          <w:b w:val="0"/>
          <w:i w:val="0"/>
        </w:rPr>
      </w:lvl>
    </w:lvlOverride>
    <w:lvlOverride w:ilvl="1">
      <w:lvl w:ilvl="1">
        <w:start w:val="1"/>
        <w:numFmt w:val="bullet"/>
        <w:lvlText w:val="–"/>
        <w:lvlJc w:val="left"/>
        <w:pPr>
          <w:tabs>
            <w:tab w:val="num" w:pos="850"/>
          </w:tabs>
          <w:ind w:left="850" w:hanging="284"/>
        </w:pPr>
        <w:rPr>
          <w:rFonts w:ascii="Calibri" w:hAnsi="Calibri" w:hint="default"/>
          <w:b w:val="0"/>
          <w:i w:val="0"/>
        </w:rPr>
      </w:lvl>
    </w:lvlOverride>
    <w:lvlOverride w:ilvl="2">
      <w:lvl w:ilvl="2">
        <w:start w:val="1"/>
        <w:numFmt w:val="bullet"/>
        <w:lvlText w:val=":"/>
        <w:lvlJc w:val="left"/>
        <w:pPr>
          <w:tabs>
            <w:tab w:val="num" w:pos="1133"/>
          </w:tabs>
          <w:ind w:left="1133" w:hanging="283"/>
        </w:pPr>
        <w:rPr>
          <w:rFonts w:ascii="Times New Roman" w:hAnsi="Times New Roman" w:cs="Times New Roman" w:hint="default"/>
          <w:b w:val="0"/>
          <w:i w:val="0"/>
        </w:rPr>
      </w:lvl>
    </w:lvlOverride>
    <w:lvlOverride w:ilvl="3">
      <w:lvl w:ilvl="3">
        <w:start w:val="1"/>
        <w:numFmt w:val="decimal"/>
        <w:lvlText w:val="(%4)"/>
        <w:lvlJc w:val="left"/>
        <w:pPr>
          <w:tabs>
            <w:tab w:val="num" w:pos="1723"/>
          </w:tabs>
          <w:ind w:left="1723" w:hanging="360"/>
        </w:pPr>
        <w:rPr>
          <w:rFonts w:hint="default"/>
          <w:b w:val="0"/>
          <w:i w:val="0"/>
        </w:rPr>
      </w:lvl>
    </w:lvlOverride>
    <w:lvlOverride w:ilvl="4">
      <w:lvl w:ilvl="4">
        <w:start w:val="1"/>
        <w:numFmt w:val="lowerLetter"/>
        <w:lvlText w:val="(%5)"/>
        <w:lvlJc w:val="left"/>
        <w:pPr>
          <w:tabs>
            <w:tab w:val="num" w:pos="2083"/>
          </w:tabs>
          <w:ind w:left="2083" w:hanging="360"/>
        </w:pPr>
        <w:rPr>
          <w:rFonts w:hint="default"/>
          <w:b w:val="0"/>
          <w:i w:val="0"/>
        </w:rPr>
      </w:lvl>
    </w:lvlOverride>
    <w:lvlOverride w:ilvl="5">
      <w:lvl w:ilvl="5">
        <w:start w:val="1"/>
        <w:numFmt w:val="lowerRoman"/>
        <w:lvlText w:val="(%6)"/>
        <w:lvlJc w:val="left"/>
        <w:pPr>
          <w:tabs>
            <w:tab w:val="num" w:pos="2443"/>
          </w:tabs>
          <w:ind w:left="2443" w:hanging="360"/>
        </w:pPr>
        <w:rPr>
          <w:rFonts w:hint="default"/>
          <w:b w:val="0"/>
          <w:i w:val="0"/>
        </w:rPr>
      </w:lvl>
    </w:lvlOverride>
    <w:lvlOverride w:ilvl="6">
      <w:lvl w:ilvl="6">
        <w:start w:val="1"/>
        <w:numFmt w:val="decimal"/>
        <w:lvlText w:val="%7."/>
        <w:lvlJc w:val="left"/>
        <w:pPr>
          <w:tabs>
            <w:tab w:val="num" w:pos="2803"/>
          </w:tabs>
          <w:ind w:left="2803" w:hanging="360"/>
        </w:pPr>
        <w:rPr>
          <w:rFonts w:hint="default"/>
          <w:b w:val="0"/>
          <w:i w:val="0"/>
        </w:rPr>
      </w:lvl>
    </w:lvlOverride>
    <w:lvlOverride w:ilvl="7">
      <w:lvl w:ilvl="7">
        <w:start w:val="1"/>
        <w:numFmt w:val="lowerLetter"/>
        <w:lvlText w:val="%8."/>
        <w:lvlJc w:val="left"/>
        <w:pPr>
          <w:tabs>
            <w:tab w:val="num" w:pos="3163"/>
          </w:tabs>
          <w:ind w:left="3163" w:hanging="360"/>
        </w:pPr>
        <w:rPr>
          <w:rFonts w:hint="default"/>
          <w:b w:val="0"/>
          <w:i w:val="0"/>
        </w:rPr>
      </w:lvl>
    </w:lvlOverride>
    <w:lvlOverride w:ilvl="8">
      <w:lvl w:ilvl="8">
        <w:start w:val="1"/>
        <w:numFmt w:val="lowerRoman"/>
        <w:lvlText w:val="%9."/>
        <w:lvlJc w:val="left"/>
        <w:pPr>
          <w:tabs>
            <w:tab w:val="num" w:pos="3523"/>
          </w:tabs>
          <w:ind w:left="3523" w:hanging="360"/>
        </w:pPr>
        <w:rPr>
          <w:rFonts w:hint="default"/>
          <w:b w:val="0"/>
          <w:i w:val="0"/>
        </w:rPr>
      </w:lvl>
    </w:lvlOverride>
  </w:num>
  <w:num w:numId="10">
    <w:abstractNumId w:val="10"/>
    <w:lvlOverride w:ilvl="0">
      <w:lvl w:ilvl="0">
        <w:start w:val="1"/>
        <w:numFmt w:val="bullet"/>
        <w:lvlText w:val="•"/>
        <w:lvlJc w:val="left"/>
        <w:pPr>
          <w:tabs>
            <w:tab w:val="num" w:pos="566"/>
          </w:tabs>
          <w:ind w:left="566" w:hanging="283"/>
        </w:pPr>
        <w:rPr>
          <w:rFonts w:ascii="Times New Roman" w:hAnsi="Times New Roman" w:cs="Times New Roman" w:hint="default"/>
          <w:b w:val="0"/>
          <w:i w:val="0"/>
        </w:rPr>
      </w:lvl>
    </w:lvlOverride>
  </w:num>
  <w:num w:numId="11">
    <w:abstractNumId w:val="20"/>
  </w:num>
  <w:num w:numId="12">
    <w:abstractNumId w:val="5"/>
  </w:num>
  <w:num w:numId="13">
    <w:abstractNumId w:val="10"/>
  </w:num>
  <w:num w:numId="14">
    <w:abstractNumId w:val="11"/>
  </w:num>
  <w:num w:numId="15">
    <w:abstractNumId w:val="22"/>
  </w:num>
  <w:num w:numId="16">
    <w:abstractNumId w:val="19"/>
  </w:num>
  <w:num w:numId="17">
    <w:abstractNumId w:val="15"/>
  </w:num>
  <w:num w:numId="18">
    <w:abstractNumId w:val="7"/>
  </w:num>
  <w:num w:numId="19">
    <w:abstractNumId w:val="26"/>
  </w:num>
  <w:num w:numId="20">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3"/>
  </w:num>
  <w:num w:numId="23">
    <w:abstractNumId w:val="25"/>
  </w:num>
  <w:num w:numId="24">
    <w:abstractNumId w:val="18"/>
  </w:num>
  <w:num w:numId="25">
    <w:abstractNumId w:val="10"/>
    <w:lvlOverride w:ilvl="0">
      <w:lvl w:ilvl="0">
        <w:start w:val="1"/>
        <w:numFmt w:val="bullet"/>
        <w:lvlRestart w:val="0"/>
        <w:lvlText w:val="•"/>
        <w:lvlJc w:val="left"/>
        <w:pPr>
          <w:tabs>
            <w:tab w:val="num" w:pos="803"/>
          </w:tabs>
          <w:ind w:left="803" w:hanging="283"/>
        </w:pPr>
        <w:rPr>
          <w:rFonts w:ascii="Times New Roman" w:hAnsi="Times New Roman" w:cs="Times New Roman" w:hint="default"/>
          <w:b w:val="0"/>
          <w:i w:val="0"/>
        </w:rPr>
      </w:lvl>
    </w:lvlOverride>
    <w:lvlOverride w:ilvl="1">
      <w:lvl w:ilvl="1">
        <w:start w:val="1"/>
        <w:numFmt w:val="bullet"/>
        <w:lvlText w:val="–"/>
        <w:lvlJc w:val="left"/>
        <w:pPr>
          <w:tabs>
            <w:tab w:val="num" w:pos="1191"/>
          </w:tabs>
          <w:ind w:left="1136" w:hanging="2"/>
        </w:pPr>
        <w:rPr>
          <w:rFonts w:ascii="Calibri" w:hAnsi="Calibri" w:hint="default"/>
          <w:b w:val="0"/>
          <w:i w:val="0"/>
        </w:rPr>
      </w:lvl>
    </w:lvlOverride>
    <w:lvlOverride w:ilvl="2">
      <w:lvl w:ilvl="2">
        <w:start w:val="1"/>
        <w:numFmt w:val="bullet"/>
        <w:lvlText w:val=":"/>
        <w:lvlJc w:val="left"/>
        <w:pPr>
          <w:tabs>
            <w:tab w:val="num" w:pos="1133"/>
          </w:tabs>
          <w:ind w:left="1133" w:hanging="283"/>
        </w:pPr>
        <w:rPr>
          <w:rFonts w:ascii="Times New Roman" w:hAnsi="Times New Roman" w:cs="Times New Roman" w:hint="default"/>
          <w:b w:val="0"/>
          <w:i w:val="0"/>
        </w:rPr>
      </w:lvl>
    </w:lvlOverride>
    <w:lvlOverride w:ilvl="3">
      <w:lvl w:ilvl="3">
        <w:start w:val="1"/>
        <w:numFmt w:val="decimal"/>
        <w:lvlText w:val="(%4)"/>
        <w:lvlJc w:val="left"/>
        <w:pPr>
          <w:tabs>
            <w:tab w:val="num" w:pos="1723"/>
          </w:tabs>
          <w:ind w:left="1723" w:hanging="360"/>
        </w:pPr>
        <w:rPr>
          <w:rFonts w:hint="default"/>
          <w:b w:val="0"/>
          <w:i w:val="0"/>
        </w:rPr>
      </w:lvl>
    </w:lvlOverride>
    <w:lvlOverride w:ilvl="4">
      <w:lvl w:ilvl="4">
        <w:start w:val="1"/>
        <w:numFmt w:val="lowerLetter"/>
        <w:lvlText w:val="(%5)"/>
        <w:lvlJc w:val="left"/>
        <w:pPr>
          <w:tabs>
            <w:tab w:val="num" w:pos="2083"/>
          </w:tabs>
          <w:ind w:left="2083" w:hanging="360"/>
        </w:pPr>
        <w:rPr>
          <w:rFonts w:hint="default"/>
          <w:b w:val="0"/>
          <w:i w:val="0"/>
        </w:rPr>
      </w:lvl>
    </w:lvlOverride>
    <w:lvlOverride w:ilvl="5">
      <w:lvl w:ilvl="5">
        <w:start w:val="1"/>
        <w:numFmt w:val="lowerRoman"/>
        <w:lvlText w:val="(%6)"/>
        <w:lvlJc w:val="left"/>
        <w:pPr>
          <w:tabs>
            <w:tab w:val="num" w:pos="2443"/>
          </w:tabs>
          <w:ind w:left="2443" w:hanging="360"/>
        </w:pPr>
        <w:rPr>
          <w:rFonts w:hint="default"/>
          <w:b w:val="0"/>
          <w:i w:val="0"/>
        </w:rPr>
      </w:lvl>
    </w:lvlOverride>
    <w:lvlOverride w:ilvl="6">
      <w:lvl w:ilvl="6">
        <w:start w:val="1"/>
        <w:numFmt w:val="decimal"/>
        <w:lvlText w:val="%7."/>
        <w:lvlJc w:val="left"/>
        <w:pPr>
          <w:tabs>
            <w:tab w:val="num" w:pos="2803"/>
          </w:tabs>
          <w:ind w:left="2803" w:hanging="360"/>
        </w:pPr>
        <w:rPr>
          <w:rFonts w:hint="default"/>
          <w:b w:val="0"/>
          <w:i w:val="0"/>
        </w:rPr>
      </w:lvl>
    </w:lvlOverride>
    <w:lvlOverride w:ilvl="7">
      <w:lvl w:ilvl="7">
        <w:start w:val="1"/>
        <w:numFmt w:val="lowerLetter"/>
        <w:lvlText w:val="%8."/>
        <w:lvlJc w:val="left"/>
        <w:pPr>
          <w:tabs>
            <w:tab w:val="num" w:pos="3163"/>
          </w:tabs>
          <w:ind w:left="3163" w:hanging="360"/>
        </w:pPr>
        <w:rPr>
          <w:rFonts w:hint="default"/>
          <w:b w:val="0"/>
          <w:i w:val="0"/>
        </w:rPr>
      </w:lvl>
    </w:lvlOverride>
    <w:lvlOverride w:ilvl="8">
      <w:lvl w:ilvl="8">
        <w:start w:val="1"/>
        <w:numFmt w:val="lowerRoman"/>
        <w:lvlText w:val="%9."/>
        <w:lvlJc w:val="left"/>
        <w:pPr>
          <w:tabs>
            <w:tab w:val="num" w:pos="3523"/>
          </w:tabs>
          <w:ind w:left="3523" w:hanging="360"/>
        </w:pPr>
        <w:rPr>
          <w:rFonts w:hint="default"/>
          <w:b w:val="0"/>
          <w:i w:val="0"/>
        </w:rPr>
      </w:lvl>
    </w:lvlOverride>
  </w:num>
  <w:num w:numId="26">
    <w:abstractNumId w:val="10"/>
    <w:lvlOverride w:ilvl="0">
      <w:lvl w:ilvl="0">
        <w:start w:val="1"/>
        <w:numFmt w:val="bullet"/>
        <w:lvlRestart w:val="0"/>
        <w:lvlText w:val="•"/>
        <w:lvlJc w:val="left"/>
        <w:pPr>
          <w:tabs>
            <w:tab w:val="num" w:pos="803"/>
          </w:tabs>
          <w:ind w:left="803" w:hanging="283"/>
        </w:pPr>
        <w:rPr>
          <w:rFonts w:ascii="Times New Roman" w:hAnsi="Times New Roman" w:cs="Times New Roman" w:hint="default"/>
          <w:b w:val="0"/>
          <w:i w:val="0"/>
        </w:rPr>
      </w:lvl>
    </w:lvlOverride>
    <w:lvlOverride w:ilvl="1">
      <w:lvl w:ilvl="1">
        <w:start w:val="1"/>
        <w:numFmt w:val="bullet"/>
        <w:lvlText w:val="–"/>
        <w:lvlJc w:val="left"/>
        <w:pPr>
          <w:tabs>
            <w:tab w:val="num" w:pos="1191"/>
          </w:tabs>
          <w:ind w:left="1136" w:hanging="285"/>
        </w:pPr>
        <w:rPr>
          <w:rFonts w:ascii="Calibri" w:hAnsi="Calibri" w:hint="default"/>
          <w:b w:val="0"/>
          <w:i w:val="0"/>
        </w:rPr>
      </w:lvl>
    </w:lvlOverride>
    <w:lvlOverride w:ilvl="2">
      <w:lvl w:ilvl="2">
        <w:start w:val="1"/>
        <w:numFmt w:val="bullet"/>
        <w:lvlText w:val=":"/>
        <w:lvlJc w:val="left"/>
        <w:pPr>
          <w:tabs>
            <w:tab w:val="num" w:pos="1133"/>
          </w:tabs>
          <w:ind w:left="1133" w:hanging="283"/>
        </w:pPr>
        <w:rPr>
          <w:rFonts w:ascii="Times New Roman" w:hAnsi="Times New Roman" w:cs="Times New Roman" w:hint="default"/>
          <w:b w:val="0"/>
          <w:i w:val="0"/>
        </w:rPr>
      </w:lvl>
    </w:lvlOverride>
    <w:lvlOverride w:ilvl="3">
      <w:lvl w:ilvl="3">
        <w:start w:val="1"/>
        <w:numFmt w:val="decimal"/>
        <w:lvlText w:val="(%4)"/>
        <w:lvlJc w:val="left"/>
        <w:pPr>
          <w:tabs>
            <w:tab w:val="num" w:pos="1723"/>
          </w:tabs>
          <w:ind w:left="1723" w:hanging="360"/>
        </w:pPr>
        <w:rPr>
          <w:rFonts w:hint="default"/>
          <w:b w:val="0"/>
          <w:i w:val="0"/>
        </w:rPr>
      </w:lvl>
    </w:lvlOverride>
    <w:lvlOverride w:ilvl="4">
      <w:lvl w:ilvl="4">
        <w:start w:val="1"/>
        <w:numFmt w:val="lowerLetter"/>
        <w:lvlText w:val="(%5)"/>
        <w:lvlJc w:val="left"/>
        <w:pPr>
          <w:tabs>
            <w:tab w:val="num" w:pos="2083"/>
          </w:tabs>
          <w:ind w:left="2083" w:hanging="360"/>
        </w:pPr>
        <w:rPr>
          <w:rFonts w:hint="default"/>
          <w:b w:val="0"/>
          <w:i w:val="0"/>
        </w:rPr>
      </w:lvl>
    </w:lvlOverride>
    <w:lvlOverride w:ilvl="5">
      <w:lvl w:ilvl="5">
        <w:start w:val="1"/>
        <w:numFmt w:val="lowerRoman"/>
        <w:lvlText w:val="(%6)"/>
        <w:lvlJc w:val="left"/>
        <w:pPr>
          <w:tabs>
            <w:tab w:val="num" w:pos="2443"/>
          </w:tabs>
          <w:ind w:left="2443" w:hanging="360"/>
        </w:pPr>
        <w:rPr>
          <w:rFonts w:hint="default"/>
          <w:b w:val="0"/>
          <w:i w:val="0"/>
        </w:rPr>
      </w:lvl>
    </w:lvlOverride>
    <w:lvlOverride w:ilvl="6">
      <w:lvl w:ilvl="6">
        <w:start w:val="1"/>
        <w:numFmt w:val="decimal"/>
        <w:lvlText w:val="%7."/>
        <w:lvlJc w:val="left"/>
        <w:pPr>
          <w:tabs>
            <w:tab w:val="num" w:pos="2803"/>
          </w:tabs>
          <w:ind w:left="2803" w:hanging="360"/>
        </w:pPr>
        <w:rPr>
          <w:rFonts w:hint="default"/>
          <w:b w:val="0"/>
          <w:i w:val="0"/>
        </w:rPr>
      </w:lvl>
    </w:lvlOverride>
    <w:lvlOverride w:ilvl="7">
      <w:lvl w:ilvl="7">
        <w:start w:val="1"/>
        <w:numFmt w:val="lowerLetter"/>
        <w:lvlText w:val="%8."/>
        <w:lvlJc w:val="left"/>
        <w:pPr>
          <w:tabs>
            <w:tab w:val="num" w:pos="3163"/>
          </w:tabs>
          <w:ind w:left="3163" w:hanging="360"/>
        </w:pPr>
        <w:rPr>
          <w:rFonts w:hint="default"/>
          <w:b w:val="0"/>
          <w:i w:val="0"/>
        </w:rPr>
      </w:lvl>
    </w:lvlOverride>
    <w:lvlOverride w:ilvl="8">
      <w:lvl w:ilvl="8">
        <w:start w:val="1"/>
        <w:numFmt w:val="lowerRoman"/>
        <w:lvlText w:val="%9."/>
        <w:lvlJc w:val="left"/>
        <w:pPr>
          <w:tabs>
            <w:tab w:val="num" w:pos="3523"/>
          </w:tabs>
          <w:ind w:left="3523" w:hanging="360"/>
        </w:pPr>
        <w:rPr>
          <w:rFonts w:hint="default"/>
          <w:b w:val="0"/>
          <w:i w:val="0"/>
        </w:rPr>
      </w:lvl>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10"/>
    <w:lvlOverride w:ilvl="0">
      <w:lvl w:ilvl="0">
        <w:start w:val="1"/>
        <w:numFmt w:val="bullet"/>
        <w:lvlRestart w:val="0"/>
        <w:lvlText w:val="•"/>
        <w:lvlJc w:val="left"/>
        <w:pPr>
          <w:tabs>
            <w:tab w:val="num" w:pos="803"/>
          </w:tabs>
          <w:ind w:left="803" w:hanging="283"/>
        </w:pPr>
        <w:rPr>
          <w:rFonts w:ascii="Times New Roman" w:hAnsi="Times New Roman" w:cs="Times New Roman" w:hint="default"/>
          <w:b w:val="0"/>
          <w:i w:val="0"/>
        </w:rPr>
      </w:lvl>
    </w:lvlOverride>
  </w:num>
  <w:num w:numId="30">
    <w:abstractNumId w:val="17"/>
  </w:num>
  <w:num w:numId="31">
    <w:abstractNumId w:val="10"/>
    <w:lvlOverride w:ilvl="0">
      <w:lvl w:ilvl="0">
        <w:start w:val="1"/>
        <w:numFmt w:val="lowerLetter"/>
        <w:lvlText w:val="%1."/>
        <w:lvlJc w:val="left"/>
        <w:pPr>
          <w:ind w:left="926" w:hanging="360"/>
        </w:pPr>
      </w:lvl>
    </w:lvlOverride>
    <w:lvlOverride w:ilvl="1">
      <w:lvl w:ilvl="1">
        <w:start w:val="1"/>
        <w:numFmt w:val="lowerLetter"/>
        <w:lvlText w:val="%2."/>
        <w:lvlJc w:val="left"/>
        <w:pPr>
          <w:ind w:left="1646" w:hanging="360"/>
        </w:pPr>
      </w:lvl>
    </w:lvlOverride>
    <w:lvlOverride w:ilvl="2">
      <w:lvl w:ilvl="2" w:tentative="1">
        <w:start w:val="1"/>
        <w:numFmt w:val="lowerRoman"/>
        <w:lvlText w:val="%3."/>
        <w:lvlJc w:val="right"/>
        <w:pPr>
          <w:ind w:left="2366" w:hanging="180"/>
        </w:pPr>
      </w:lvl>
    </w:lvlOverride>
    <w:lvlOverride w:ilvl="3">
      <w:lvl w:ilvl="3" w:tentative="1">
        <w:start w:val="1"/>
        <w:numFmt w:val="decimal"/>
        <w:lvlText w:val="%4."/>
        <w:lvlJc w:val="left"/>
        <w:pPr>
          <w:ind w:left="3086" w:hanging="360"/>
        </w:pPr>
      </w:lvl>
    </w:lvlOverride>
    <w:lvlOverride w:ilvl="4">
      <w:lvl w:ilvl="4" w:tentative="1">
        <w:start w:val="1"/>
        <w:numFmt w:val="lowerLetter"/>
        <w:lvlText w:val="%5."/>
        <w:lvlJc w:val="left"/>
        <w:pPr>
          <w:ind w:left="3806" w:hanging="360"/>
        </w:pPr>
      </w:lvl>
    </w:lvlOverride>
    <w:lvlOverride w:ilvl="5">
      <w:lvl w:ilvl="5" w:tentative="1">
        <w:start w:val="1"/>
        <w:numFmt w:val="lowerRoman"/>
        <w:lvlText w:val="%6."/>
        <w:lvlJc w:val="right"/>
        <w:pPr>
          <w:ind w:left="4526" w:hanging="180"/>
        </w:pPr>
      </w:lvl>
    </w:lvlOverride>
    <w:lvlOverride w:ilvl="6">
      <w:lvl w:ilvl="6" w:tentative="1">
        <w:start w:val="1"/>
        <w:numFmt w:val="decimal"/>
        <w:lvlText w:val="%7."/>
        <w:lvlJc w:val="left"/>
        <w:pPr>
          <w:ind w:left="5246" w:hanging="360"/>
        </w:pPr>
      </w:lvl>
    </w:lvlOverride>
    <w:lvlOverride w:ilvl="7">
      <w:lvl w:ilvl="7" w:tentative="1">
        <w:start w:val="1"/>
        <w:numFmt w:val="lowerLetter"/>
        <w:lvlText w:val="%8."/>
        <w:lvlJc w:val="left"/>
        <w:pPr>
          <w:ind w:left="5966" w:hanging="360"/>
        </w:pPr>
      </w:lvl>
    </w:lvlOverride>
    <w:lvlOverride w:ilvl="8">
      <w:lvl w:ilvl="8" w:tentative="1">
        <w:start w:val="1"/>
        <w:numFmt w:val="lowerRoman"/>
        <w:lvlText w:val="%9."/>
        <w:lvlJc w:val="right"/>
        <w:pPr>
          <w:ind w:left="6686" w:hanging="180"/>
        </w:pPr>
      </w:lvl>
    </w:lvlOverride>
  </w:num>
  <w:num w:numId="32">
    <w:abstractNumId w:val="0"/>
  </w:num>
  <w:num w:numId="33">
    <w:abstractNumId w:val="4"/>
  </w:num>
  <w:num w:numId="34">
    <w:abstractNumId w:val="8"/>
  </w:num>
  <w:num w:numId="35">
    <w:abstractNumId w:val="14"/>
  </w:num>
  <w:num w:numId="36">
    <w:abstractNumId w:val="8"/>
  </w:num>
  <w:num w:numId="37">
    <w:abstractNumId w:val="8"/>
  </w:num>
  <w:num w:numId="38">
    <w:abstractNumId w:val="8"/>
  </w:num>
  <w:num w:numId="39">
    <w:abstractNumId w:val="8"/>
  </w:num>
  <w:num w:numId="40">
    <w:abstractNumId w:val="8"/>
  </w:num>
  <w:num w:numId="41">
    <w:abstractNumId w:val="8"/>
  </w:num>
  <w:num w:numId="42">
    <w:abstractNumId w:val="8"/>
  </w:num>
  <w:num w:numId="43">
    <w:abstractNumId w:val="8"/>
  </w:num>
  <w:num w:numId="44">
    <w:abstractNumId w:val="8"/>
  </w:num>
  <w:num w:numId="45">
    <w:abstractNumId w:val="8"/>
  </w:num>
  <w:num w:numId="46">
    <w:abstractNumId w:val="21"/>
  </w:num>
  <w:num w:numId="47">
    <w:abstractNumId w:val="8"/>
  </w:num>
  <w:num w:numId="48">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sz w:val="22"/>
          <w:szCs w:val="22"/>
        </w:rPr>
      </w:lvl>
    </w:lvlOverride>
    <w:lvlOverride w:ilvl="2">
      <w:lvl w:ilvl="2">
        <w:start w:val="1"/>
        <w:numFmt w:val="bullet"/>
        <w:lvlText w:val=""/>
        <w:lvlJc w:val="left"/>
        <w:pPr>
          <w:ind w:left="720" w:hanging="720"/>
        </w:pPr>
        <w:rPr>
          <w:rFonts w:ascii="Symbol" w:hAnsi="Symbol" w:hint="default"/>
        </w:rPr>
      </w:lvl>
    </w:lvlOverride>
    <w:lvlOverride w:ilvl="3">
      <w:lvl w:ilvl="3">
        <w:start w:val="1"/>
        <w:numFmt w:val="bullet"/>
        <w:lvlText w:val=""/>
        <w:lvlJc w:val="left"/>
        <w:pPr>
          <w:ind w:left="720" w:hanging="720"/>
        </w:pPr>
        <w:rPr>
          <w:rFonts w:ascii="Symbol" w:hAnsi="Symbol" w:hint="default"/>
        </w:rPr>
      </w:lvl>
    </w:lvlOverride>
    <w:lvlOverride w:ilvl="4">
      <w:lvl w:ilvl="4">
        <w:start w:val="1"/>
        <w:numFmt w:val="bullet"/>
        <w:lvlText w:val=""/>
        <w:lvlJc w:val="left"/>
        <w:pPr>
          <w:ind w:left="1080" w:hanging="1080"/>
        </w:pPr>
        <w:rPr>
          <w:rFonts w:ascii="Symbol" w:hAnsi="Symbol"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9">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21"/>
    <w:rsid w:val="00000501"/>
    <w:rsid w:val="00000830"/>
    <w:rsid w:val="00000DCC"/>
    <w:rsid w:val="00001478"/>
    <w:rsid w:val="0000166B"/>
    <w:rsid w:val="00001A94"/>
    <w:rsid w:val="0000223A"/>
    <w:rsid w:val="00002267"/>
    <w:rsid w:val="000024D7"/>
    <w:rsid w:val="0000281E"/>
    <w:rsid w:val="00002CB7"/>
    <w:rsid w:val="00003099"/>
    <w:rsid w:val="0000316C"/>
    <w:rsid w:val="0000326A"/>
    <w:rsid w:val="0000333E"/>
    <w:rsid w:val="00003714"/>
    <w:rsid w:val="00003830"/>
    <w:rsid w:val="00003D9A"/>
    <w:rsid w:val="000040EC"/>
    <w:rsid w:val="0000410D"/>
    <w:rsid w:val="000041FD"/>
    <w:rsid w:val="00004536"/>
    <w:rsid w:val="00004600"/>
    <w:rsid w:val="00004778"/>
    <w:rsid w:val="0000491C"/>
    <w:rsid w:val="000049F8"/>
    <w:rsid w:val="00004CD0"/>
    <w:rsid w:val="00004FBF"/>
    <w:rsid w:val="000050FF"/>
    <w:rsid w:val="00005267"/>
    <w:rsid w:val="0000556A"/>
    <w:rsid w:val="0000622C"/>
    <w:rsid w:val="0000696D"/>
    <w:rsid w:val="000069A3"/>
    <w:rsid w:val="00007186"/>
    <w:rsid w:val="000072AB"/>
    <w:rsid w:val="00007895"/>
    <w:rsid w:val="00007CE4"/>
    <w:rsid w:val="000103E2"/>
    <w:rsid w:val="00010B3C"/>
    <w:rsid w:val="00010C62"/>
    <w:rsid w:val="0001139C"/>
    <w:rsid w:val="00011725"/>
    <w:rsid w:val="00011850"/>
    <w:rsid w:val="00011944"/>
    <w:rsid w:val="000121BC"/>
    <w:rsid w:val="0001229B"/>
    <w:rsid w:val="000125F9"/>
    <w:rsid w:val="0001268A"/>
    <w:rsid w:val="000128E0"/>
    <w:rsid w:val="00012C62"/>
    <w:rsid w:val="00012E49"/>
    <w:rsid w:val="0001396A"/>
    <w:rsid w:val="00013AA2"/>
    <w:rsid w:val="00013AB9"/>
    <w:rsid w:val="00013D59"/>
    <w:rsid w:val="00013DA0"/>
    <w:rsid w:val="000145F4"/>
    <w:rsid w:val="0001474C"/>
    <w:rsid w:val="000147C0"/>
    <w:rsid w:val="00014878"/>
    <w:rsid w:val="000148D4"/>
    <w:rsid w:val="0001492E"/>
    <w:rsid w:val="00014C6E"/>
    <w:rsid w:val="00015023"/>
    <w:rsid w:val="000152C2"/>
    <w:rsid w:val="00015333"/>
    <w:rsid w:val="00015949"/>
    <w:rsid w:val="00015C19"/>
    <w:rsid w:val="000162F1"/>
    <w:rsid w:val="00016692"/>
    <w:rsid w:val="000167BB"/>
    <w:rsid w:val="000168DE"/>
    <w:rsid w:val="00016BB2"/>
    <w:rsid w:val="00016C35"/>
    <w:rsid w:val="00016D78"/>
    <w:rsid w:val="0001715B"/>
    <w:rsid w:val="000174DD"/>
    <w:rsid w:val="000179C4"/>
    <w:rsid w:val="00017AB0"/>
    <w:rsid w:val="00020395"/>
    <w:rsid w:val="00020655"/>
    <w:rsid w:val="0002066D"/>
    <w:rsid w:val="000207FC"/>
    <w:rsid w:val="000208A9"/>
    <w:rsid w:val="00020BFA"/>
    <w:rsid w:val="00020E67"/>
    <w:rsid w:val="000210A2"/>
    <w:rsid w:val="0002139A"/>
    <w:rsid w:val="00021B3B"/>
    <w:rsid w:val="0002220E"/>
    <w:rsid w:val="0002290E"/>
    <w:rsid w:val="00022A1D"/>
    <w:rsid w:val="00022C89"/>
    <w:rsid w:val="00022F68"/>
    <w:rsid w:val="00023462"/>
    <w:rsid w:val="0002359C"/>
    <w:rsid w:val="000237B6"/>
    <w:rsid w:val="0002391E"/>
    <w:rsid w:val="00023B23"/>
    <w:rsid w:val="00023F8C"/>
    <w:rsid w:val="000243A4"/>
    <w:rsid w:val="00024839"/>
    <w:rsid w:val="00024A55"/>
    <w:rsid w:val="00024A74"/>
    <w:rsid w:val="00024C0E"/>
    <w:rsid w:val="00024C2A"/>
    <w:rsid w:val="0002540B"/>
    <w:rsid w:val="0002544D"/>
    <w:rsid w:val="00025495"/>
    <w:rsid w:val="00025C40"/>
    <w:rsid w:val="00025D68"/>
    <w:rsid w:val="00025EC5"/>
    <w:rsid w:val="00026034"/>
    <w:rsid w:val="00026069"/>
    <w:rsid w:val="00026195"/>
    <w:rsid w:val="000261EB"/>
    <w:rsid w:val="000263D8"/>
    <w:rsid w:val="000269E8"/>
    <w:rsid w:val="00026E4B"/>
    <w:rsid w:val="00027144"/>
    <w:rsid w:val="00027719"/>
    <w:rsid w:val="00027817"/>
    <w:rsid w:val="0002781C"/>
    <w:rsid w:val="00027972"/>
    <w:rsid w:val="00027B59"/>
    <w:rsid w:val="00027C72"/>
    <w:rsid w:val="00027CB4"/>
    <w:rsid w:val="00027D19"/>
    <w:rsid w:val="00027D24"/>
    <w:rsid w:val="00027DB7"/>
    <w:rsid w:val="00027FCE"/>
    <w:rsid w:val="000309B4"/>
    <w:rsid w:val="00030B94"/>
    <w:rsid w:val="00030EBB"/>
    <w:rsid w:val="00031449"/>
    <w:rsid w:val="00031490"/>
    <w:rsid w:val="000319A6"/>
    <w:rsid w:val="00031E85"/>
    <w:rsid w:val="00031F7D"/>
    <w:rsid w:val="0003260B"/>
    <w:rsid w:val="00032FC9"/>
    <w:rsid w:val="00033458"/>
    <w:rsid w:val="00033C32"/>
    <w:rsid w:val="00034BF3"/>
    <w:rsid w:val="00034D2F"/>
    <w:rsid w:val="00034DC2"/>
    <w:rsid w:val="00034E3A"/>
    <w:rsid w:val="00035251"/>
    <w:rsid w:val="000359EB"/>
    <w:rsid w:val="00035A5F"/>
    <w:rsid w:val="00035C97"/>
    <w:rsid w:val="00035E4C"/>
    <w:rsid w:val="00035F95"/>
    <w:rsid w:val="00036235"/>
    <w:rsid w:val="0003642A"/>
    <w:rsid w:val="00036454"/>
    <w:rsid w:val="0003651C"/>
    <w:rsid w:val="0003662D"/>
    <w:rsid w:val="00036A8F"/>
    <w:rsid w:val="00036BC5"/>
    <w:rsid w:val="00036C52"/>
    <w:rsid w:val="00036DBC"/>
    <w:rsid w:val="000371BF"/>
    <w:rsid w:val="00037B9E"/>
    <w:rsid w:val="00037BEA"/>
    <w:rsid w:val="00040B78"/>
    <w:rsid w:val="00040E0D"/>
    <w:rsid w:val="00041346"/>
    <w:rsid w:val="00041348"/>
    <w:rsid w:val="00041429"/>
    <w:rsid w:val="000418C3"/>
    <w:rsid w:val="0004200A"/>
    <w:rsid w:val="00042098"/>
    <w:rsid w:val="0004274D"/>
    <w:rsid w:val="00042A0E"/>
    <w:rsid w:val="00042AEF"/>
    <w:rsid w:val="00042B5E"/>
    <w:rsid w:val="00042BB2"/>
    <w:rsid w:val="00042C0C"/>
    <w:rsid w:val="00043348"/>
    <w:rsid w:val="00043738"/>
    <w:rsid w:val="000437E2"/>
    <w:rsid w:val="000438A3"/>
    <w:rsid w:val="00043B72"/>
    <w:rsid w:val="00044147"/>
    <w:rsid w:val="00044693"/>
    <w:rsid w:val="00044805"/>
    <w:rsid w:val="0004483F"/>
    <w:rsid w:val="00044A56"/>
    <w:rsid w:val="00044ADC"/>
    <w:rsid w:val="00044AF6"/>
    <w:rsid w:val="00044D1C"/>
    <w:rsid w:val="00044E6D"/>
    <w:rsid w:val="00044FC5"/>
    <w:rsid w:val="00045B23"/>
    <w:rsid w:val="00045F8E"/>
    <w:rsid w:val="00046146"/>
    <w:rsid w:val="000464B7"/>
    <w:rsid w:val="000469A7"/>
    <w:rsid w:val="00046A4D"/>
    <w:rsid w:val="00046D87"/>
    <w:rsid w:val="00046F53"/>
    <w:rsid w:val="00046FBB"/>
    <w:rsid w:val="00047648"/>
    <w:rsid w:val="00047BE3"/>
    <w:rsid w:val="00047F1B"/>
    <w:rsid w:val="00050093"/>
    <w:rsid w:val="000503B4"/>
    <w:rsid w:val="000504F5"/>
    <w:rsid w:val="0005098E"/>
    <w:rsid w:val="00050C7D"/>
    <w:rsid w:val="00050D17"/>
    <w:rsid w:val="000510B7"/>
    <w:rsid w:val="000511CA"/>
    <w:rsid w:val="000511EE"/>
    <w:rsid w:val="0005138B"/>
    <w:rsid w:val="00051429"/>
    <w:rsid w:val="000515DA"/>
    <w:rsid w:val="0005171D"/>
    <w:rsid w:val="00051B46"/>
    <w:rsid w:val="000522B7"/>
    <w:rsid w:val="000522E1"/>
    <w:rsid w:val="0005232E"/>
    <w:rsid w:val="00052519"/>
    <w:rsid w:val="00052BB5"/>
    <w:rsid w:val="00052EE0"/>
    <w:rsid w:val="00053099"/>
    <w:rsid w:val="000534DF"/>
    <w:rsid w:val="0005360E"/>
    <w:rsid w:val="0005368E"/>
    <w:rsid w:val="00053ED2"/>
    <w:rsid w:val="00054050"/>
    <w:rsid w:val="000543FB"/>
    <w:rsid w:val="0005495E"/>
    <w:rsid w:val="00054D18"/>
    <w:rsid w:val="00054F72"/>
    <w:rsid w:val="00056337"/>
    <w:rsid w:val="00056558"/>
    <w:rsid w:val="0005657B"/>
    <w:rsid w:val="00056880"/>
    <w:rsid w:val="00056917"/>
    <w:rsid w:val="0005691A"/>
    <w:rsid w:val="00056ADA"/>
    <w:rsid w:val="00056C91"/>
    <w:rsid w:val="00056F1E"/>
    <w:rsid w:val="00057386"/>
    <w:rsid w:val="00057688"/>
    <w:rsid w:val="00057962"/>
    <w:rsid w:val="00060E77"/>
    <w:rsid w:val="00061194"/>
    <w:rsid w:val="000627A3"/>
    <w:rsid w:val="00062E29"/>
    <w:rsid w:val="00062F9A"/>
    <w:rsid w:val="0006334A"/>
    <w:rsid w:val="00063394"/>
    <w:rsid w:val="000634D5"/>
    <w:rsid w:val="000639B5"/>
    <w:rsid w:val="000639FA"/>
    <w:rsid w:val="00063E4B"/>
    <w:rsid w:val="00063F07"/>
    <w:rsid w:val="00064552"/>
    <w:rsid w:val="0006471F"/>
    <w:rsid w:val="00064726"/>
    <w:rsid w:val="00064891"/>
    <w:rsid w:val="0006497C"/>
    <w:rsid w:val="000649E8"/>
    <w:rsid w:val="00064FF8"/>
    <w:rsid w:val="0006531B"/>
    <w:rsid w:val="0006558D"/>
    <w:rsid w:val="00065774"/>
    <w:rsid w:val="00065803"/>
    <w:rsid w:val="000659C0"/>
    <w:rsid w:val="00065C13"/>
    <w:rsid w:val="00065C79"/>
    <w:rsid w:val="00065E62"/>
    <w:rsid w:val="0006608F"/>
    <w:rsid w:val="00066441"/>
    <w:rsid w:val="00066564"/>
    <w:rsid w:val="00066736"/>
    <w:rsid w:val="000667BD"/>
    <w:rsid w:val="000668E3"/>
    <w:rsid w:val="000673C1"/>
    <w:rsid w:val="000675D1"/>
    <w:rsid w:val="00067786"/>
    <w:rsid w:val="00067810"/>
    <w:rsid w:val="00067992"/>
    <w:rsid w:val="00067A78"/>
    <w:rsid w:val="00067D5F"/>
    <w:rsid w:val="00067E51"/>
    <w:rsid w:val="00070107"/>
    <w:rsid w:val="000706F1"/>
    <w:rsid w:val="00070706"/>
    <w:rsid w:val="00070C50"/>
    <w:rsid w:val="00071207"/>
    <w:rsid w:val="000712FE"/>
    <w:rsid w:val="00071743"/>
    <w:rsid w:val="000719EC"/>
    <w:rsid w:val="00071AE7"/>
    <w:rsid w:val="00071BC9"/>
    <w:rsid w:val="00071F4B"/>
    <w:rsid w:val="00072211"/>
    <w:rsid w:val="00072249"/>
    <w:rsid w:val="00072466"/>
    <w:rsid w:val="00072501"/>
    <w:rsid w:val="000727F2"/>
    <w:rsid w:val="00072840"/>
    <w:rsid w:val="000730FF"/>
    <w:rsid w:val="00073521"/>
    <w:rsid w:val="00073B4C"/>
    <w:rsid w:val="00073D39"/>
    <w:rsid w:val="00073F73"/>
    <w:rsid w:val="000741DB"/>
    <w:rsid w:val="00074889"/>
    <w:rsid w:val="0007495E"/>
    <w:rsid w:val="00074F5B"/>
    <w:rsid w:val="00075315"/>
    <w:rsid w:val="00075375"/>
    <w:rsid w:val="00075845"/>
    <w:rsid w:val="000758F8"/>
    <w:rsid w:val="00075BF7"/>
    <w:rsid w:val="00075DC6"/>
    <w:rsid w:val="0007612B"/>
    <w:rsid w:val="00076468"/>
    <w:rsid w:val="00076DDA"/>
    <w:rsid w:val="00076E6D"/>
    <w:rsid w:val="00077318"/>
    <w:rsid w:val="0007758E"/>
    <w:rsid w:val="000775DE"/>
    <w:rsid w:val="00077940"/>
    <w:rsid w:val="00080172"/>
    <w:rsid w:val="000805C6"/>
    <w:rsid w:val="000807D6"/>
    <w:rsid w:val="00080844"/>
    <w:rsid w:val="00080B30"/>
    <w:rsid w:val="00081347"/>
    <w:rsid w:val="0008147E"/>
    <w:rsid w:val="000821A9"/>
    <w:rsid w:val="000821F0"/>
    <w:rsid w:val="000821FF"/>
    <w:rsid w:val="0008239A"/>
    <w:rsid w:val="0008267B"/>
    <w:rsid w:val="000826E0"/>
    <w:rsid w:val="00082781"/>
    <w:rsid w:val="000827C2"/>
    <w:rsid w:val="00082E73"/>
    <w:rsid w:val="0008332B"/>
    <w:rsid w:val="000835A0"/>
    <w:rsid w:val="00083BED"/>
    <w:rsid w:val="00083CE7"/>
    <w:rsid w:val="000842AF"/>
    <w:rsid w:val="000843A5"/>
    <w:rsid w:val="00084466"/>
    <w:rsid w:val="0008464E"/>
    <w:rsid w:val="00084BCD"/>
    <w:rsid w:val="000851F1"/>
    <w:rsid w:val="0008525E"/>
    <w:rsid w:val="0008526A"/>
    <w:rsid w:val="0008571E"/>
    <w:rsid w:val="00085778"/>
    <w:rsid w:val="00085B35"/>
    <w:rsid w:val="00085E5C"/>
    <w:rsid w:val="0008609A"/>
    <w:rsid w:val="000860F2"/>
    <w:rsid w:val="000861ED"/>
    <w:rsid w:val="00086C85"/>
    <w:rsid w:val="00086D22"/>
    <w:rsid w:val="00086E20"/>
    <w:rsid w:val="000871B9"/>
    <w:rsid w:val="000872E8"/>
    <w:rsid w:val="000873DE"/>
    <w:rsid w:val="000874FA"/>
    <w:rsid w:val="000874FF"/>
    <w:rsid w:val="00087582"/>
    <w:rsid w:val="00087993"/>
    <w:rsid w:val="00087C43"/>
    <w:rsid w:val="00087FAF"/>
    <w:rsid w:val="000905E6"/>
    <w:rsid w:val="00090BB6"/>
    <w:rsid w:val="00090C00"/>
    <w:rsid w:val="00090FF6"/>
    <w:rsid w:val="000919CB"/>
    <w:rsid w:val="000919D7"/>
    <w:rsid w:val="00092608"/>
    <w:rsid w:val="000927C7"/>
    <w:rsid w:val="0009291A"/>
    <w:rsid w:val="000929CE"/>
    <w:rsid w:val="000929DF"/>
    <w:rsid w:val="00092BB1"/>
    <w:rsid w:val="00092D38"/>
    <w:rsid w:val="00093290"/>
    <w:rsid w:val="000933DE"/>
    <w:rsid w:val="00093528"/>
    <w:rsid w:val="000936A0"/>
    <w:rsid w:val="00093882"/>
    <w:rsid w:val="00093954"/>
    <w:rsid w:val="000939E8"/>
    <w:rsid w:val="00093A25"/>
    <w:rsid w:val="00093E89"/>
    <w:rsid w:val="00093F69"/>
    <w:rsid w:val="00093FD4"/>
    <w:rsid w:val="00094264"/>
    <w:rsid w:val="00094657"/>
    <w:rsid w:val="00094711"/>
    <w:rsid w:val="00094B73"/>
    <w:rsid w:val="00094BD1"/>
    <w:rsid w:val="00094E61"/>
    <w:rsid w:val="0009549E"/>
    <w:rsid w:val="000955D9"/>
    <w:rsid w:val="000957C1"/>
    <w:rsid w:val="00095B27"/>
    <w:rsid w:val="00095CAA"/>
    <w:rsid w:val="00095DE5"/>
    <w:rsid w:val="00095F6F"/>
    <w:rsid w:val="000964D6"/>
    <w:rsid w:val="00096AB7"/>
    <w:rsid w:val="00096E43"/>
    <w:rsid w:val="00097163"/>
    <w:rsid w:val="000976AC"/>
    <w:rsid w:val="0009799D"/>
    <w:rsid w:val="00097EAA"/>
    <w:rsid w:val="000A05B8"/>
    <w:rsid w:val="000A0DB0"/>
    <w:rsid w:val="000A111E"/>
    <w:rsid w:val="000A118C"/>
    <w:rsid w:val="000A1926"/>
    <w:rsid w:val="000A19A5"/>
    <w:rsid w:val="000A1F6C"/>
    <w:rsid w:val="000A27FF"/>
    <w:rsid w:val="000A2AC8"/>
    <w:rsid w:val="000A2AFF"/>
    <w:rsid w:val="000A2C33"/>
    <w:rsid w:val="000A3406"/>
    <w:rsid w:val="000A3544"/>
    <w:rsid w:val="000A3984"/>
    <w:rsid w:val="000A3AD6"/>
    <w:rsid w:val="000A3D52"/>
    <w:rsid w:val="000A3FC1"/>
    <w:rsid w:val="000A3FCF"/>
    <w:rsid w:val="000A4846"/>
    <w:rsid w:val="000A49A6"/>
    <w:rsid w:val="000A4C58"/>
    <w:rsid w:val="000A5256"/>
    <w:rsid w:val="000A53E4"/>
    <w:rsid w:val="000A58B1"/>
    <w:rsid w:val="000A58F4"/>
    <w:rsid w:val="000A594D"/>
    <w:rsid w:val="000A5994"/>
    <w:rsid w:val="000A5A29"/>
    <w:rsid w:val="000A5AD2"/>
    <w:rsid w:val="000A5D8D"/>
    <w:rsid w:val="000A5F11"/>
    <w:rsid w:val="000A61BD"/>
    <w:rsid w:val="000A621B"/>
    <w:rsid w:val="000A6357"/>
    <w:rsid w:val="000A63CF"/>
    <w:rsid w:val="000A66E2"/>
    <w:rsid w:val="000A6781"/>
    <w:rsid w:val="000A696D"/>
    <w:rsid w:val="000A69D3"/>
    <w:rsid w:val="000A69F9"/>
    <w:rsid w:val="000A6AB1"/>
    <w:rsid w:val="000A6C06"/>
    <w:rsid w:val="000A73B1"/>
    <w:rsid w:val="000B0C2C"/>
    <w:rsid w:val="000B0C6B"/>
    <w:rsid w:val="000B0ED6"/>
    <w:rsid w:val="000B0FB9"/>
    <w:rsid w:val="000B1277"/>
    <w:rsid w:val="000B1AD9"/>
    <w:rsid w:val="000B2664"/>
    <w:rsid w:val="000B26F7"/>
    <w:rsid w:val="000B272B"/>
    <w:rsid w:val="000B277F"/>
    <w:rsid w:val="000B2B59"/>
    <w:rsid w:val="000B2FC8"/>
    <w:rsid w:val="000B3375"/>
    <w:rsid w:val="000B348D"/>
    <w:rsid w:val="000B34A0"/>
    <w:rsid w:val="000B3A77"/>
    <w:rsid w:val="000B3BE4"/>
    <w:rsid w:val="000B418C"/>
    <w:rsid w:val="000B42F4"/>
    <w:rsid w:val="000B4703"/>
    <w:rsid w:val="000B4823"/>
    <w:rsid w:val="000B4889"/>
    <w:rsid w:val="000B4BB1"/>
    <w:rsid w:val="000B4CD7"/>
    <w:rsid w:val="000B4D7F"/>
    <w:rsid w:val="000B4FBA"/>
    <w:rsid w:val="000B5416"/>
    <w:rsid w:val="000B5626"/>
    <w:rsid w:val="000B564E"/>
    <w:rsid w:val="000B565E"/>
    <w:rsid w:val="000B5C6D"/>
    <w:rsid w:val="000B5F47"/>
    <w:rsid w:val="000B5FA9"/>
    <w:rsid w:val="000B5FDD"/>
    <w:rsid w:val="000B606C"/>
    <w:rsid w:val="000B6084"/>
    <w:rsid w:val="000B60CA"/>
    <w:rsid w:val="000B6A5A"/>
    <w:rsid w:val="000B6C6C"/>
    <w:rsid w:val="000B6C88"/>
    <w:rsid w:val="000B6FB5"/>
    <w:rsid w:val="000B6FD9"/>
    <w:rsid w:val="000B71AE"/>
    <w:rsid w:val="000B7457"/>
    <w:rsid w:val="000B7E54"/>
    <w:rsid w:val="000C05AB"/>
    <w:rsid w:val="000C0818"/>
    <w:rsid w:val="000C09DC"/>
    <w:rsid w:val="000C0AD4"/>
    <w:rsid w:val="000C0E65"/>
    <w:rsid w:val="000C0EB0"/>
    <w:rsid w:val="000C10D8"/>
    <w:rsid w:val="000C117C"/>
    <w:rsid w:val="000C11CE"/>
    <w:rsid w:val="000C1435"/>
    <w:rsid w:val="000C186E"/>
    <w:rsid w:val="000C18A3"/>
    <w:rsid w:val="000C1A90"/>
    <w:rsid w:val="000C1A97"/>
    <w:rsid w:val="000C1DB5"/>
    <w:rsid w:val="000C1E04"/>
    <w:rsid w:val="000C1E68"/>
    <w:rsid w:val="000C2013"/>
    <w:rsid w:val="000C202F"/>
    <w:rsid w:val="000C241A"/>
    <w:rsid w:val="000C250C"/>
    <w:rsid w:val="000C2794"/>
    <w:rsid w:val="000C2CDB"/>
    <w:rsid w:val="000C31C4"/>
    <w:rsid w:val="000C3EC8"/>
    <w:rsid w:val="000C3F42"/>
    <w:rsid w:val="000C4121"/>
    <w:rsid w:val="000C46C1"/>
    <w:rsid w:val="000C49A4"/>
    <w:rsid w:val="000C51F3"/>
    <w:rsid w:val="000C52DE"/>
    <w:rsid w:val="000C5388"/>
    <w:rsid w:val="000C538D"/>
    <w:rsid w:val="000C571D"/>
    <w:rsid w:val="000C5AAF"/>
    <w:rsid w:val="000C5F2F"/>
    <w:rsid w:val="000C5F40"/>
    <w:rsid w:val="000C606C"/>
    <w:rsid w:val="000C6141"/>
    <w:rsid w:val="000C728E"/>
    <w:rsid w:val="000C7786"/>
    <w:rsid w:val="000C7A6B"/>
    <w:rsid w:val="000D038D"/>
    <w:rsid w:val="000D05A0"/>
    <w:rsid w:val="000D05F4"/>
    <w:rsid w:val="000D07E9"/>
    <w:rsid w:val="000D09AB"/>
    <w:rsid w:val="000D143C"/>
    <w:rsid w:val="000D1AA9"/>
    <w:rsid w:val="000D21B0"/>
    <w:rsid w:val="000D2267"/>
    <w:rsid w:val="000D2721"/>
    <w:rsid w:val="000D2825"/>
    <w:rsid w:val="000D3B64"/>
    <w:rsid w:val="000D3C3B"/>
    <w:rsid w:val="000D3DEB"/>
    <w:rsid w:val="000D477B"/>
    <w:rsid w:val="000D51F2"/>
    <w:rsid w:val="000D558E"/>
    <w:rsid w:val="000D56E0"/>
    <w:rsid w:val="000D5B91"/>
    <w:rsid w:val="000D5B9B"/>
    <w:rsid w:val="000D5DAC"/>
    <w:rsid w:val="000D5DBF"/>
    <w:rsid w:val="000D5EA8"/>
    <w:rsid w:val="000D5F75"/>
    <w:rsid w:val="000D619F"/>
    <w:rsid w:val="000D6683"/>
    <w:rsid w:val="000D67CE"/>
    <w:rsid w:val="000D69B3"/>
    <w:rsid w:val="000D6B58"/>
    <w:rsid w:val="000D789C"/>
    <w:rsid w:val="000D78C5"/>
    <w:rsid w:val="000D7EFE"/>
    <w:rsid w:val="000D7F72"/>
    <w:rsid w:val="000D7F7C"/>
    <w:rsid w:val="000E058A"/>
    <w:rsid w:val="000E06B7"/>
    <w:rsid w:val="000E06DC"/>
    <w:rsid w:val="000E08F1"/>
    <w:rsid w:val="000E09F7"/>
    <w:rsid w:val="000E0A36"/>
    <w:rsid w:val="000E0B74"/>
    <w:rsid w:val="000E11C1"/>
    <w:rsid w:val="000E1627"/>
    <w:rsid w:val="000E18F7"/>
    <w:rsid w:val="000E1C2B"/>
    <w:rsid w:val="000E1ED7"/>
    <w:rsid w:val="000E2028"/>
    <w:rsid w:val="000E2383"/>
    <w:rsid w:val="000E2897"/>
    <w:rsid w:val="000E31FC"/>
    <w:rsid w:val="000E3285"/>
    <w:rsid w:val="000E3803"/>
    <w:rsid w:val="000E3838"/>
    <w:rsid w:val="000E4066"/>
    <w:rsid w:val="000E4260"/>
    <w:rsid w:val="000E47FA"/>
    <w:rsid w:val="000E495C"/>
    <w:rsid w:val="000E4A26"/>
    <w:rsid w:val="000E4E44"/>
    <w:rsid w:val="000E5015"/>
    <w:rsid w:val="000E5602"/>
    <w:rsid w:val="000E5936"/>
    <w:rsid w:val="000E5A72"/>
    <w:rsid w:val="000E6233"/>
    <w:rsid w:val="000E63BD"/>
    <w:rsid w:val="000E65CB"/>
    <w:rsid w:val="000E67C0"/>
    <w:rsid w:val="000E687C"/>
    <w:rsid w:val="000E691A"/>
    <w:rsid w:val="000E69BA"/>
    <w:rsid w:val="000E6D29"/>
    <w:rsid w:val="000E6E3E"/>
    <w:rsid w:val="000E7776"/>
    <w:rsid w:val="000E7901"/>
    <w:rsid w:val="000E7D63"/>
    <w:rsid w:val="000F02F8"/>
    <w:rsid w:val="000F0426"/>
    <w:rsid w:val="000F08BC"/>
    <w:rsid w:val="000F099D"/>
    <w:rsid w:val="000F0C4A"/>
    <w:rsid w:val="000F1321"/>
    <w:rsid w:val="000F13C2"/>
    <w:rsid w:val="000F1538"/>
    <w:rsid w:val="000F15AB"/>
    <w:rsid w:val="000F1AAC"/>
    <w:rsid w:val="000F289E"/>
    <w:rsid w:val="000F2B96"/>
    <w:rsid w:val="000F30A6"/>
    <w:rsid w:val="000F3A25"/>
    <w:rsid w:val="000F3AC8"/>
    <w:rsid w:val="000F3E8D"/>
    <w:rsid w:val="000F3EFD"/>
    <w:rsid w:val="000F42C8"/>
    <w:rsid w:val="000F457D"/>
    <w:rsid w:val="000F46F3"/>
    <w:rsid w:val="000F49A3"/>
    <w:rsid w:val="000F4B2E"/>
    <w:rsid w:val="000F4B8B"/>
    <w:rsid w:val="000F4C37"/>
    <w:rsid w:val="000F4C47"/>
    <w:rsid w:val="000F4D4E"/>
    <w:rsid w:val="000F5175"/>
    <w:rsid w:val="000F52F1"/>
    <w:rsid w:val="000F5A1F"/>
    <w:rsid w:val="000F6370"/>
    <w:rsid w:val="000F66DE"/>
    <w:rsid w:val="000F67CB"/>
    <w:rsid w:val="000F6F1D"/>
    <w:rsid w:val="000F7349"/>
    <w:rsid w:val="000F7358"/>
    <w:rsid w:val="000F7CD3"/>
    <w:rsid w:val="000F7FAA"/>
    <w:rsid w:val="0010028D"/>
    <w:rsid w:val="00100363"/>
    <w:rsid w:val="00100677"/>
    <w:rsid w:val="00100A3E"/>
    <w:rsid w:val="00100C4D"/>
    <w:rsid w:val="00100DD3"/>
    <w:rsid w:val="0010100B"/>
    <w:rsid w:val="001013AB"/>
    <w:rsid w:val="00101638"/>
    <w:rsid w:val="00101953"/>
    <w:rsid w:val="00101C9A"/>
    <w:rsid w:val="001020C2"/>
    <w:rsid w:val="00102139"/>
    <w:rsid w:val="001029D9"/>
    <w:rsid w:val="00103AF1"/>
    <w:rsid w:val="00103F7D"/>
    <w:rsid w:val="001045C6"/>
    <w:rsid w:val="0010478F"/>
    <w:rsid w:val="00104C58"/>
    <w:rsid w:val="00105043"/>
    <w:rsid w:val="00105447"/>
    <w:rsid w:val="00105F69"/>
    <w:rsid w:val="00105F9A"/>
    <w:rsid w:val="00105FAC"/>
    <w:rsid w:val="0010600F"/>
    <w:rsid w:val="00106198"/>
    <w:rsid w:val="001063EB"/>
    <w:rsid w:val="00106628"/>
    <w:rsid w:val="001066C1"/>
    <w:rsid w:val="001067B7"/>
    <w:rsid w:val="00106A12"/>
    <w:rsid w:val="00106B47"/>
    <w:rsid w:val="00107291"/>
    <w:rsid w:val="00107560"/>
    <w:rsid w:val="0010777A"/>
    <w:rsid w:val="0010781A"/>
    <w:rsid w:val="00107853"/>
    <w:rsid w:val="001079E3"/>
    <w:rsid w:val="00107A9D"/>
    <w:rsid w:val="00107C66"/>
    <w:rsid w:val="0011012E"/>
    <w:rsid w:val="00110771"/>
    <w:rsid w:val="001108BD"/>
    <w:rsid w:val="00110931"/>
    <w:rsid w:val="00110A5B"/>
    <w:rsid w:val="00110A99"/>
    <w:rsid w:val="00110C20"/>
    <w:rsid w:val="00110D8C"/>
    <w:rsid w:val="0011112A"/>
    <w:rsid w:val="00111240"/>
    <w:rsid w:val="00111B85"/>
    <w:rsid w:val="00111D5E"/>
    <w:rsid w:val="00111E2D"/>
    <w:rsid w:val="001126A5"/>
    <w:rsid w:val="00112714"/>
    <w:rsid w:val="00113295"/>
    <w:rsid w:val="00113912"/>
    <w:rsid w:val="001139EA"/>
    <w:rsid w:val="00113EAF"/>
    <w:rsid w:val="001140DE"/>
    <w:rsid w:val="00114248"/>
    <w:rsid w:val="001144CA"/>
    <w:rsid w:val="00114507"/>
    <w:rsid w:val="0011471E"/>
    <w:rsid w:val="00114861"/>
    <w:rsid w:val="00114948"/>
    <w:rsid w:val="00114A12"/>
    <w:rsid w:val="00114AD5"/>
    <w:rsid w:val="00114FAD"/>
    <w:rsid w:val="0011549E"/>
    <w:rsid w:val="001154E4"/>
    <w:rsid w:val="00116459"/>
    <w:rsid w:val="001165A8"/>
    <w:rsid w:val="001167A8"/>
    <w:rsid w:val="0011694A"/>
    <w:rsid w:val="00116CEB"/>
    <w:rsid w:val="00116D3E"/>
    <w:rsid w:val="0011732C"/>
    <w:rsid w:val="00117537"/>
    <w:rsid w:val="001176DA"/>
    <w:rsid w:val="0011781B"/>
    <w:rsid w:val="001200FD"/>
    <w:rsid w:val="001201B7"/>
    <w:rsid w:val="0012023D"/>
    <w:rsid w:val="0012068D"/>
    <w:rsid w:val="001206AE"/>
    <w:rsid w:val="00120E0A"/>
    <w:rsid w:val="0012101C"/>
    <w:rsid w:val="00121163"/>
    <w:rsid w:val="001215DB"/>
    <w:rsid w:val="00121A6D"/>
    <w:rsid w:val="00121E4B"/>
    <w:rsid w:val="001221D7"/>
    <w:rsid w:val="00122539"/>
    <w:rsid w:val="00122B2D"/>
    <w:rsid w:val="0012300C"/>
    <w:rsid w:val="0012306E"/>
    <w:rsid w:val="00123272"/>
    <w:rsid w:val="001232CE"/>
    <w:rsid w:val="00123330"/>
    <w:rsid w:val="001233C4"/>
    <w:rsid w:val="0012346F"/>
    <w:rsid w:val="00123824"/>
    <w:rsid w:val="0012383A"/>
    <w:rsid w:val="0012470C"/>
    <w:rsid w:val="00124778"/>
    <w:rsid w:val="0012494B"/>
    <w:rsid w:val="00124F03"/>
    <w:rsid w:val="00126503"/>
    <w:rsid w:val="0012655B"/>
    <w:rsid w:val="00126A12"/>
    <w:rsid w:val="00126EB9"/>
    <w:rsid w:val="001271A7"/>
    <w:rsid w:val="0012754B"/>
    <w:rsid w:val="00127B77"/>
    <w:rsid w:val="001300EC"/>
    <w:rsid w:val="001300F9"/>
    <w:rsid w:val="001307D4"/>
    <w:rsid w:val="00130A2B"/>
    <w:rsid w:val="00130BE1"/>
    <w:rsid w:val="00130CB7"/>
    <w:rsid w:val="00130DA2"/>
    <w:rsid w:val="001310F5"/>
    <w:rsid w:val="001311DF"/>
    <w:rsid w:val="001317A8"/>
    <w:rsid w:val="00131C2D"/>
    <w:rsid w:val="00131CD2"/>
    <w:rsid w:val="00131DC3"/>
    <w:rsid w:val="00132B1F"/>
    <w:rsid w:val="00132CF7"/>
    <w:rsid w:val="00133096"/>
    <w:rsid w:val="001333D7"/>
    <w:rsid w:val="001333DF"/>
    <w:rsid w:val="0013344E"/>
    <w:rsid w:val="0013395F"/>
    <w:rsid w:val="00133BAD"/>
    <w:rsid w:val="00133C51"/>
    <w:rsid w:val="00133F82"/>
    <w:rsid w:val="0013412C"/>
    <w:rsid w:val="0013418A"/>
    <w:rsid w:val="001348E0"/>
    <w:rsid w:val="00134E2B"/>
    <w:rsid w:val="00134F4D"/>
    <w:rsid w:val="0013542D"/>
    <w:rsid w:val="001358D0"/>
    <w:rsid w:val="00135BA2"/>
    <w:rsid w:val="00135D80"/>
    <w:rsid w:val="00135E4C"/>
    <w:rsid w:val="00135F07"/>
    <w:rsid w:val="00136346"/>
    <w:rsid w:val="001363C4"/>
    <w:rsid w:val="0013646B"/>
    <w:rsid w:val="0013685E"/>
    <w:rsid w:val="00136D53"/>
    <w:rsid w:val="00136EF5"/>
    <w:rsid w:val="00136FF9"/>
    <w:rsid w:val="0013728F"/>
    <w:rsid w:val="001373F5"/>
    <w:rsid w:val="0013754C"/>
    <w:rsid w:val="0013755A"/>
    <w:rsid w:val="001379A6"/>
    <w:rsid w:val="001404E2"/>
    <w:rsid w:val="00140678"/>
    <w:rsid w:val="00140839"/>
    <w:rsid w:val="00140C55"/>
    <w:rsid w:val="00140C64"/>
    <w:rsid w:val="00140CBB"/>
    <w:rsid w:val="001413D7"/>
    <w:rsid w:val="001414C7"/>
    <w:rsid w:val="0014176D"/>
    <w:rsid w:val="0014199A"/>
    <w:rsid w:val="00141BD0"/>
    <w:rsid w:val="00141FC1"/>
    <w:rsid w:val="001421E3"/>
    <w:rsid w:val="0014241C"/>
    <w:rsid w:val="001426D8"/>
    <w:rsid w:val="00142CA9"/>
    <w:rsid w:val="00142FF2"/>
    <w:rsid w:val="001430B8"/>
    <w:rsid w:val="00143148"/>
    <w:rsid w:val="0014314D"/>
    <w:rsid w:val="00143388"/>
    <w:rsid w:val="001435A7"/>
    <w:rsid w:val="001436A1"/>
    <w:rsid w:val="00143CB6"/>
    <w:rsid w:val="00143DD0"/>
    <w:rsid w:val="00143E78"/>
    <w:rsid w:val="001442E0"/>
    <w:rsid w:val="00144C1E"/>
    <w:rsid w:val="00144DB0"/>
    <w:rsid w:val="00145260"/>
    <w:rsid w:val="001456D5"/>
    <w:rsid w:val="00145BF7"/>
    <w:rsid w:val="00145D57"/>
    <w:rsid w:val="00145D61"/>
    <w:rsid w:val="001466A1"/>
    <w:rsid w:val="00146A01"/>
    <w:rsid w:val="00146BBB"/>
    <w:rsid w:val="00146ED0"/>
    <w:rsid w:val="0014742B"/>
    <w:rsid w:val="0014779F"/>
    <w:rsid w:val="00147C99"/>
    <w:rsid w:val="00150116"/>
    <w:rsid w:val="00150958"/>
    <w:rsid w:val="00150AFA"/>
    <w:rsid w:val="00151037"/>
    <w:rsid w:val="0015206F"/>
    <w:rsid w:val="00152361"/>
    <w:rsid w:val="00152435"/>
    <w:rsid w:val="00152B19"/>
    <w:rsid w:val="00152E20"/>
    <w:rsid w:val="00152EDD"/>
    <w:rsid w:val="001531F4"/>
    <w:rsid w:val="00153363"/>
    <w:rsid w:val="0015336A"/>
    <w:rsid w:val="00153607"/>
    <w:rsid w:val="00153B0A"/>
    <w:rsid w:val="001542F2"/>
    <w:rsid w:val="00154633"/>
    <w:rsid w:val="00154783"/>
    <w:rsid w:val="00154803"/>
    <w:rsid w:val="00154866"/>
    <w:rsid w:val="00154992"/>
    <w:rsid w:val="00154DC9"/>
    <w:rsid w:val="00154F33"/>
    <w:rsid w:val="00154F52"/>
    <w:rsid w:val="00154F9B"/>
    <w:rsid w:val="001554C0"/>
    <w:rsid w:val="0015563A"/>
    <w:rsid w:val="00155C04"/>
    <w:rsid w:val="00155D80"/>
    <w:rsid w:val="00155FF0"/>
    <w:rsid w:val="001561FE"/>
    <w:rsid w:val="0015643C"/>
    <w:rsid w:val="00156871"/>
    <w:rsid w:val="001569A8"/>
    <w:rsid w:val="00156ED4"/>
    <w:rsid w:val="001574C0"/>
    <w:rsid w:val="001579DC"/>
    <w:rsid w:val="00157DA5"/>
    <w:rsid w:val="00157E5B"/>
    <w:rsid w:val="00157FA6"/>
    <w:rsid w:val="001606CF"/>
    <w:rsid w:val="00161018"/>
    <w:rsid w:val="0016128D"/>
    <w:rsid w:val="001613E1"/>
    <w:rsid w:val="001615F8"/>
    <w:rsid w:val="00161E0F"/>
    <w:rsid w:val="00162EAE"/>
    <w:rsid w:val="00162FC5"/>
    <w:rsid w:val="001636E2"/>
    <w:rsid w:val="001636E9"/>
    <w:rsid w:val="00163C7D"/>
    <w:rsid w:val="00163DEC"/>
    <w:rsid w:val="001644DB"/>
    <w:rsid w:val="001655A9"/>
    <w:rsid w:val="00165FCF"/>
    <w:rsid w:val="00166657"/>
    <w:rsid w:val="001668D3"/>
    <w:rsid w:val="0016697E"/>
    <w:rsid w:val="00166BB5"/>
    <w:rsid w:val="0016739B"/>
    <w:rsid w:val="00167677"/>
    <w:rsid w:val="00167B5B"/>
    <w:rsid w:val="00167BA9"/>
    <w:rsid w:val="00167EFA"/>
    <w:rsid w:val="00167F1F"/>
    <w:rsid w:val="0017089D"/>
    <w:rsid w:val="0017094C"/>
    <w:rsid w:val="00170D12"/>
    <w:rsid w:val="00170E59"/>
    <w:rsid w:val="00170EBE"/>
    <w:rsid w:val="00171301"/>
    <w:rsid w:val="001716A8"/>
    <w:rsid w:val="00171A08"/>
    <w:rsid w:val="00171B03"/>
    <w:rsid w:val="00171BDA"/>
    <w:rsid w:val="00171C4E"/>
    <w:rsid w:val="0017221E"/>
    <w:rsid w:val="00172260"/>
    <w:rsid w:val="001722F2"/>
    <w:rsid w:val="001725A3"/>
    <w:rsid w:val="0017261E"/>
    <w:rsid w:val="00172807"/>
    <w:rsid w:val="001737E4"/>
    <w:rsid w:val="001738DC"/>
    <w:rsid w:val="00173A09"/>
    <w:rsid w:val="00174101"/>
    <w:rsid w:val="00174127"/>
    <w:rsid w:val="00174968"/>
    <w:rsid w:val="00174C23"/>
    <w:rsid w:val="00175523"/>
    <w:rsid w:val="00175559"/>
    <w:rsid w:val="00175890"/>
    <w:rsid w:val="00175B7C"/>
    <w:rsid w:val="00175C2F"/>
    <w:rsid w:val="00175F0B"/>
    <w:rsid w:val="00176209"/>
    <w:rsid w:val="0017623C"/>
    <w:rsid w:val="00176D31"/>
    <w:rsid w:val="0017706D"/>
    <w:rsid w:val="00177544"/>
    <w:rsid w:val="00177B3D"/>
    <w:rsid w:val="00177C6B"/>
    <w:rsid w:val="00180344"/>
    <w:rsid w:val="00180775"/>
    <w:rsid w:val="001807DE"/>
    <w:rsid w:val="00180A9A"/>
    <w:rsid w:val="00180B4C"/>
    <w:rsid w:val="00181816"/>
    <w:rsid w:val="00181CBD"/>
    <w:rsid w:val="00181D12"/>
    <w:rsid w:val="00181DCA"/>
    <w:rsid w:val="00182616"/>
    <w:rsid w:val="00182A62"/>
    <w:rsid w:val="00182B50"/>
    <w:rsid w:val="001832B4"/>
    <w:rsid w:val="0018383B"/>
    <w:rsid w:val="00183B60"/>
    <w:rsid w:val="00183BD9"/>
    <w:rsid w:val="00183F31"/>
    <w:rsid w:val="0018429A"/>
    <w:rsid w:val="0018446B"/>
    <w:rsid w:val="00184690"/>
    <w:rsid w:val="0018484E"/>
    <w:rsid w:val="0018489F"/>
    <w:rsid w:val="00184BC3"/>
    <w:rsid w:val="001850C0"/>
    <w:rsid w:val="00185138"/>
    <w:rsid w:val="00185C17"/>
    <w:rsid w:val="00185C6E"/>
    <w:rsid w:val="0018627F"/>
    <w:rsid w:val="001862F2"/>
    <w:rsid w:val="00186921"/>
    <w:rsid w:val="00186BEC"/>
    <w:rsid w:val="00186C3D"/>
    <w:rsid w:val="00186D28"/>
    <w:rsid w:val="00186DEA"/>
    <w:rsid w:val="00187230"/>
    <w:rsid w:val="0018744C"/>
    <w:rsid w:val="0019018C"/>
    <w:rsid w:val="00190A04"/>
    <w:rsid w:val="00190AB6"/>
    <w:rsid w:val="00190D54"/>
    <w:rsid w:val="0019101A"/>
    <w:rsid w:val="00191150"/>
    <w:rsid w:val="001912DF"/>
    <w:rsid w:val="00191588"/>
    <w:rsid w:val="0019176D"/>
    <w:rsid w:val="001918AB"/>
    <w:rsid w:val="00191921"/>
    <w:rsid w:val="00191B9A"/>
    <w:rsid w:val="00192189"/>
    <w:rsid w:val="0019258A"/>
    <w:rsid w:val="001928A5"/>
    <w:rsid w:val="00192B26"/>
    <w:rsid w:val="00192C2D"/>
    <w:rsid w:val="00193466"/>
    <w:rsid w:val="00193468"/>
    <w:rsid w:val="001934BB"/>
    <w:rsid w:val="001935D9"/>
    <w:rsid w:val="00193604"/>
    <w:rsid w:val="00193972"/>
    <w:rsid w:val="0019397F"/>
    <w:rsid w:val="00193CCC"/>
    <w:rsid w:val="00194144"/>
    <w:rsid w:val="0019429B"/>
    <w:rsid w:val="001945A6"/>
    <w:rsid w:val="0019463D"/>
    <w:rsid w:val="0019487E"/>
    <w:rsid w:val="00194894"/>
    <w:rsid w:val="0019490D"/>
    <w:rsid w:val="00194A61"/>
    <w:rsid w:val="00194C34"/>
    <w:rsid w:val="00194DE9"/>
    <w:rsid w:val="00195140"/>
    <w:rsid w:val="001955E8"/>
    <w:rsid w:val="00195BEC"/>
    <w:rsid w:val="00195E9E"/>
    <w:rsid w:val="001960C5"/>
    <w:rsid w:val="001961AC"/>
    <w:rsid w:val="0019656E"/>
    <w:rsid w:val="00196719"/>
    <w:rsid w:val="00196BFC"/>
    <w:rsid w:val="00196E95"/>
    <w:rsid w:val="001972D2"/>
    <w:rsid w:val="001972F5"/>
    <w:rsid w:val="00197904"/>
    <w:rsid w:val="0019797D"/>
    <w:rsid w:val="00197DE6"/>
    <w:rsid w:val="001A0173"/>
    <w:rsid w:val="001A0376"/>
    <w:rsid w:val="001A0C83"/>
    <w:rsid w:val="001A1016"/>
    <w:rsid w:val="001A1530"/>
    <w:rsid w:val="001A156E"/>
    <w:rsid w:val="001A18C2"/>
    <w:rsid w:val="001A18E4"/>
    <w:rsid w:val="001A18E6"/>
    <w:rsid w:val="001A19EB"/>
    <w:rsid w:val="001A1CBE"/>
    <w:rsid w:val="001A1D66"/>
    <w:rsid w:val="001A2B55"/>
    <w:rsid w:val="001A2DA3"/>
    <w:rsid w:val="001A2F04"/>
    <w:rsid w:val="001A337C"/>
    <w:rsid w:val="001A34EA"/>
    <w:rsid w:val="001A375B"/>
    <w:rsid w:val="001A39F4"/>
    <w:rsid w:val="001A3D8F"/>
    <w:rsid w:val="001A3DE2"/>
    <w:rsid w:val="001A4105"/>
    <w:rsid w:val="001A4159"/>
    <w:rsid w:val="001A41C4"/>
    <w:rsid w:val="001A44F7"/>
    <w:rsid w:val="001A462B"/>
    <w:rsid w:val="001A4F30"/>
    <w:rsid w:val="001A53D1"/>
    <w:rsid w:val="001A540E"/>
    <w:rsid w:val="001A5684"/>
    <w:rsid w:val="001A5711"/>
    <w:rsid w:val="001A58DC"/>
    <w:rsid w:val="001A5A27"/>
    <w:rsid w:val="001A5B1C"/>
    <w:rsid w:val="001A5BD2"/>
    <w:rsid w:val="001A5C1D"/>
    <w:rsid w:val="001A5EAA"/>
    <w:rsid w:val="001A60E8"/>
    <w:rsid w:val="001A6123"/>
    <w:rsid w:val="001A634E"/>
    <w:rsid w:val="001A64E2"/>
    <w:rsid w:val="001A6574"/>
    <w:rsid w:val="001A65B6"/>
    <w:rsid w:val="001A736F"/>
    <w:rsid w:val="001A777C"/>
    <w:rsid w:val="001A780B"/>
    <w:rsid w:val="001B0160"/>
    <w:rsid w:val="001B097A"/>
    <w:rsid w:val="001B0C9A"/>
    <w:rsid w:val="001B0EA9"/>
    <w:rsid w:val="001B13EC"/>
    <w:rsid w:val="001B163F"/>
    <w:rsid w:val="001B16F7"/>
    <w:rsid w:val="001B181D"/>
    <w:rsid w:val="001B19DF"/>
    <w:rsid w:val="001B1D1B"/>
    <w:rsid w:val="001B1EAD"/>
    <w:rsid w:val="001B2102"/>
    <w:rsid w:val="001B2162"/>
    <w:rsid w:val="001B21E6"/>
    <w:rsid w:val="001B2586"/>
    <w:rsid w:val="001B284D"/>
    <w:rsid w:val="001B2BBC"/>
    <w:rsid w:val="001B2C48"/>
    <w:rsid w:val="001B30E0"/>
    <w:rsid w:val="001B31CD"/>
    <w:rsid w:val="001B33E7"/>
    <w:rsid w:val="001B34E4"/>
    <w:rsid w:val="001B3909"/>
    <w:rsid w:val="001B3BF0"/>
    <w:rsid w:val="001B3D13"/>
    <w:rsid w:val="001B3F52"/>
    <w:rsid w:val="001B40F3"/>
    <w:rsid w:val="001B4799"/>
    <w:rsid w:val="001B482D"/>
    <w:rsid w:val="001B499A"/>
    <w:rsid w:val="001B4D9B"/>
    <w:rsid w:val="001B4DE1"/>
    <w:rsid w:val="001B5288"/>
    <w:rsid w:val="001B53A0"/>
    <w:rsid w:val="001B547C"/>
    <w:rsid w:val="001B58D2"/>
    <w:rsid w:val="001B5B98"/>
    <w:rsid w:val="001B5F4B"/>
    <w:rsid w:val="001B6014"/>
    <w:rsid w:val="001B65D0"/>
    <w:rsid w:val="001B7048"/>
    <w:rsid w:val="001B73D0"/>
    <w:rsid w:val="001B767F"/>
    <w:rsid w:val="001B7770"/>
    <w:rsid w:val="001B78E4"/>
    <w:rsid w:val="001C0027"/>
    <w:rsid w:val="001C005A"/>
    <w:rsid w:val="001C0538"/>
    <w:rsid w:val="001C0A77"/>
    <w:rsid w:val="001C0BE2"/>
    <w:rsid w:val="001C0C5E"/>
    <w:rsid w:val="001C0E34"/>
    <w:rsid w:val="001C0EB6"/>
    <w:rsid w:val="001C17C6"/>
    <w:rsid w:val="001C1B84"/>
    <w:rsid w:val="001C1DE6"/>
    <w:rsid w:val="001C1FD4"/>
    <w:rsid w:val="001C2008"/>
    <w:rsid w:val="001C249B"/>
    <w:rsid w:val="001C2C7A"/>
    <w:rsid w:val="001C3344"/>
    <w:rsid w:val="001C358D"/>
    <w:rsid w:val="001C3A18"/>
    <w:rsid w:val="001C3BAB"/>
    <w:rsid w:val="001C3E85"/>
    <w:rsid w:val="001C4111"/>
    <w:rsid w:val="001C4329"/>
    <w:rsid w:val="001C46C8"/>
    <w:rsid w:val="001C4DDD"/>
    <w:rsid w:val="001C54D0"/>
    <w:rsid w:val="001C576C"/>
    <w:rsid w:val="001C589F"/>
    <w:rsid w:val="001C68BD"/>
    <w:rsid w:val="001C6AC6"/>
    <w:rsid w:val="001C6AFF"/>
    <w:rsid w:val="001C6D8D"/>
    <w:rsid w:val="001C7134"/>
    <w:rsid w:val="001C7205"/>
    <w:rsid w:val="001C7A97"/>
    <w:rsid w:val="001C7FB2"/>
    <w:rsid w:val="001D03EC"/>
    <w:rsid w:val="001D132E"/>
    <w:rsid w:val="001D134F"/>
    <w:rsid w:val="001D1783"/>
    <w:rsid w:val="001D200E"/>
    <w:rsid w:val="001D2197"/>
    <w:rsid w:val="001D2616"/>
    <w:rsid w:val="001D27E4"/>
    <w:rsid w:val="001D2A8F"/>
    <w:rsid w:val="001D2AED"/>
    <w:rsid w:val="001D2BFE"/>
    <w:rsid w:val="001D3B46"/>
    <w:rsid w:val="001D442C"/>
    <w:rsid w:val="001D512B"/>
    <w:rsid w:val="001D52D8"/>
    <w:rsid w:val="001D5340"/>
    <w:rsid w:val="001D568F"/>
    <w:rsid w:val="001D5CD9"/>
    <w:rsid w:val="001D5E2E"/>
    <w:rsid w:val="001D6093"/>
    <w:rsid w:val="001D616E"/>
    <w:rsid w:val="001D64B2"/>
    <w:rsid w:val="001D673A"/>
    <w:rsid w:val="001D6842"/>
    <w:rsid w:val="001D6E57"/>
    <w:rsid w:val="001D7484"/>
    <w:rsid w:val="001D7603"/>
    <w:rsid w:val="001D7899"/>
    <w:rsid w:val="001D7A18"/>
    <w:rsid w:val="001D7AF6"/>
    <w:rsid w:val="001D7C5C"/>
    <w:rsid w:val="001D7CCE"/>
    <w:rsid w:val="001E08D5"/>
    <w:rsid w:val="001E0EAA"/>
    <w:rsid w:val="001E1547"/>
    <w:rsid w:val="001E1883"/>
    <w:rsid w:val="001E22FF"/>
    <w:rsid w:val="001E248F"/>
    <w:rsid w:val="001E2520"/>
    <w:rsid w:val="001E25E0"/>
    <w:rsid w:val="001E27C4"/>
    <w:rsid w:val="001E2CB1"/>
    <w:rsid w:val="001E30B4"/>
    <w:rsid w:val="001E34E7"/>
    <w:rsid w:val="001E3557"/>
    <w:rsid w:val="001E35C7"/>
    <w:rsid w:val="001E3A62"/>
    <w:rsid w:val="001E3B4E"/>
    <w:rsid w:val="001E44BC"/>
    <w:rsid w:val="001E459C"/>
    <w:rsid w:val="001E45B5"/>
    <w:rsid w:val="001E4C8F"/>
    <w:rsid w:val="001E5010"/>
    <w:rsid w:val="001E5302"/>
    <w:rsid w:val="001E5484"/>
    <w:rsid w:val="001E562E"/>
    <w:rsid w:val="001E574A"/>
    <w:rsid w:val="001E5BCA"/>
    <w:rsid w:val="001E69A1"/>
    <w:rsid w:val="001E6B51"/>
    <w:rsid w:val="001E7332"/>
    <w:rsid w:val="001E75D5"/>
    <w:rsid w:val="001E7830"/>
    <w:rsid w:val="001E79A4"/>
    <w:rsid w:val="001E7A9C"/>
    <w:rsid w:val="001E7ADB"/>
    <w:rsid w:val="001E7FCF"/>
    <w:rsid w:val="001F005D"/>
    <w:rsid w:val="001F00D5"/>
    <w:rsid w:val="001F0170"/>
    <w:rsid w:val="001F033B"/>
    <w:rsid w:val="001F07B3"/>
    <w:rsid w:val="001F0C22"/>
    <w:rsid w:val="001F1328"/>
    <w:rsid w:val="001F1525"/>
    <w:rsid w:val="001F15DF"/>
    <w:rsid w:val="001F1B27"/>
    <w:rsid w:val="001F1B3E"/>
    <w:rsid w:val="001F1B9D"/>
    <w:rsid w:val="001F1C5B"/>
    <w:rsid w:val="001F229D"/>
    <w:rsid w:val="001F25DA"/>
    <w:rsid w:val="001F28D6"/>
    <w:rsid w:val="001F340C"/>
    <w:rsid w:val="001F353D"/>
    <w:rsid w:val="001F3965"/>
    <w:rsid w:val="001F3FD4"/>
    <w:rsid w:val="001F4004"/>
    <w:rsid w:val="001F4486"/>
    <w:rsid w:val="001F4B91"/>
    <w:rsid w:val="001F57FC"/>
    <w:rsid w:val="001F5926"/>
    <w:rsid w:val="001F6595"/>
    <w:rsid w:val="001F6C5F"/>
    <w:rsid w:val="001F7564"/>
    <w:rsid w:val="001F78E5"/>
    <w:rsid w:val="001F7918"/>
    <w:rsid w:val="001F7B57"/>
    <w:rsid w:val="001F7BDB"/>
    <w:rsid w:val="001F7D05"/>
    <w:rsid w:val="001F7D75"/>
    <w:rsid w:val="0020000D"/>
    <w:rsid w:val="00200090"/>
    <w:rsid w:val="002001DD"/>
    <w:rsid w:val="002001F4"/>
    <w:rsid w:val="0020020A"/>
    <w:rsid w:val="002007AC"/>
    <w:rsid w:val="00200C3B"/>
    <w:rsid w:val="00200F1C"/>
    <w:rsid w:val="00201149"/>
    <w:rsid w:val="00202311"/>
    <w:rsid w:val="002025C6"/>
    <w:rsid w:val="00203551"/>
    <w:rsid w:val="00203609"/>
    <w:rsid w:val="002036C4"/>
    <w:rsid w:val="002038AE"/>
    <w:rsid w:val="00203E26"/>
    <w:rsid w:val="00204158"/>
    <w:rsid w:val="00204198"/>
    <w:rsid w:val="002041A2"/>
    <w:rsid w:val="00204205"/>
    <w:rsid w:val="002053BD"/>
    <w:rsid w:val="002055D7"/>
    <w:rsid w:val="00205916"/>
    <w:rsid w:val="00205939"/>
    <w:rsid w:val="00205A07"/>
    <w:rsid w:val="00205FC8"/>
    <w:rsid w:val="00205FDD"/>
    <w:rsid w:val="0020616C"/>
    <w:rsid w:val="0020661E"/>
    <w:rsid w:val="00206939"/>
    <w:rsid w:val="00206A64"/>
    <w:rsid w:val="00206C85"/>
    <w:rsid w:val="00206D35"/>
    <w:rsid w:val="00207628"/>
    <w:rsid w:val="002077AE"/>
    <w:rsid w:val="00207A23"/>
    <w:rsid w:val="002102E9"/>
    <w:rsid w:val="0021054C"/>
    <w:rsid w:val="00210557"/>
    <w:rsid w:val="002105FB"/>
    <w:rsid w:val="00210B29"/>
    <w:rsid w:val="00211480"/>
    <w:rsid w:val="00211CF4"/>
    <w:rsid w:val="00211F19"/>
    <w:rsid w:val="0021202E"/>
    <w:rsid w:val="0021296A"/>
    <w:rsid w:val="00212A30"/>
    <w:rsid w:val="00212D83"/>
    <w:rsid w:val="00213097"/>
    <w:rsid w:val="002131A5"/>
    <w:rsid w:val="002131C3"/>
    <w:rsid w:val="00213928"/>
    <w:rsid w:val="0021436D"/>
    <w:rsid w:val="0021458C"/>
    <w:rsid w:val="00214909"/>
    <w:rsid w:val="002149EE"/>
    <w:rsid w:val="00214F99"/>
    <w:rsid w:val="002151BB"/>
    <w:rsid w:val="00215213"/>
    <w:rsid w:val="00216568"/>
    <w:rsid w:val="00216A59"/>
    <w:rsid w:val="00216B0F"/>
    <w:rsid w:val="00216D5D"/>
    <w:rsid w:val="00216E8A"/>
    <w:rsid w:val="00216F0F"/>
    <w:rsid w:val="0021785A"/>
    <w:rsid w:val="00217906"/>
    <w:rsid w:val="002179B5"/>
    <w:rsid w:val="00217CAF"/>
    <w:rsid w:val="00217EE1"/>
    <w:rsid w:val="00217FF4"/>
    <w:rsid w:val="002202E3"/>
    <w:rsid w:val="002203FF"/>
    <w:rsid w:val="002204E9"/>
    <w:rsid w:val="002208D4"/>
    <w:rsid w:val="00220EAD"/>
    <w:rsid w:val="002210A8"/>
    <w:rsid w:val="00221327"/>
    <w:rsid w:val="00221365"/>
    <w:rsid w:val="00221608"/>
    <w:rsid w:val="00221720"/>
    <w:rsid w:val="00221798"/>
    <w:rsid w:val="002219EF"/>
    <w:rsid w:val="00221AC9"/>
    <w:rsid w:val="00221EC0"/>
    <w:rsid w:val="00221F06"/>
    <w:rsid w:val="00222D2C"/>
    <w:rsid w:val="002231C8"/>
    <w:rsid w:val="0022351D"/>
    <w:rsid w:val="00223D5D"/>
    <w:rsid w:val="00223DB2"/>
    <w:rsid w:val="00224142"/>
    <w:rsid w:val="0022436B"/>
    <w:rsid w:val="002247B2"/>
    <w:rsid w:val="002247DC"/>
    <w:rsid w:val="0022491B"/>
    <w:rsid w:val="00224B37"/>
    <w:rsid w:val="00224B4D"/>
    <w:rsid w:val="002252C6"/>
    <w:rsid w:val="002258DF"/>
    <w:rsid w:val="002263B4"/>
    <w:rsid w:val="00226479"/>
    <w:rsid w:val="002266B8"/>
    <w:rsid w:val="0022678D"/>
    <w:rsid w:val="00226972"/>
    <w:rsid w:val="00226DFA"/>
    <w:rsid w:val="00226F05"/>
    <w:rsid w:val="0022722B"/>
    <w:rsid w:val="00227A83"/>
    <w:rsid w:val="00227E6D"/>
    <w:rsid w:val="00227FDF"/>
    <w:rsid w:val="002305A5"/>
    <w:rsid w:val="0023062A"/>
    <w:rsid w:val="00230871"/>
    <w:rsid w:val="0023097C"/>
    <w:rsid w:val="00230B5C"/>
    <w:rsid w:val="00231049"/>
    <w:rsid w:val="00231082"/>
    <w:rsid w:val="00231124"/>
    <w:rsid w:val="002314D2"/>
    <w:rsid w:val="002315F8"/>
    <w:rsid w:val="002317B8"/>
    <w:rsid w:val="00232170"/>
    <w:rsid w:val="0023244E"/>
    <w:rsid w:val="00232465"/>
    <w:rsid w:val="00232905"/>
    <w:rsid w:val="00232ABA"/>
    <w:rsid w:val="00232B92"/>
    <w:rsid w:val="0023305C"/>
    <w:rsid w:val="00233148"/>
    <w:rsid w:val="00233496"/>
    <w:rsid w:val="002334D0"/>
    <w:rsid w:val="002339DE"/>
    <w:rsid w:val="00233A0F"/>
    <w:rsid w:val="00233D2A"/>
    <w:rsid w:val="00233D3A"/>
    <w:rsid w:val="00233EAA"/>
    <w:rsid w:val="00233F75"/>
    <w:rsid w:val="002348B0"/>
    <w:rsid w:val="00234DB7"/>
    <w:rsid w:val="00235108"/>
    <w:rsid w:val="0023525A"/>
    <w:rsid w:val="002353DC"/>
    <w:rsid w:val="00235B74"/>
    <w:rsid w:val="00235C66"/>
    <w:rsid w:val="00236317"/>
    <w:rsid w:val="002364C8"/>
    <w:rsid w:val="0023674B"/>
    <w:rsid w:val="00236E24"/>
    <w:rsid w:val="00236FBA"/>
    <w:rsid w:val="0023703A"/>
    <w:rsid w:val="002375E7"/>
    <w:rsid w:val="00237EB7"/>
    <w:rsid w:val="00240124"/>
    <w:rsid w:val="0024061E"/>
    <w:rsid w:val="00240701"/>
    <w:rsid w:val="0024092D"/>
    <w:rsid w:val="002410EF"/>
    <w:rsid w:val="002410F3"/>
    <w:rsid w:val="00241262"/>
    <w:rsid w:val="0024128B"/>
    <w:rsid w:val="002416A1"/>
    <w:rsid w:val="00241738"/>
    <w:rsid w:val="00241881"/>
    <w:rsid w:val="00241C54"/>
    <w:rsid w:val="00241DEE"/>
    <w:rsid w:val="002421B2"/>
    <w:rsid w:val="0024294C"/>
    <w:rsid w:val="00242F61"/>
    <w:rsid w:val="00243387"/>
    <w:rsid w:val="00243843"/>
    <w:rsid w:val="00243BA4"/>
    <w:rsid w:val="00243E60"/>
    <w:rsid w:val="0024408F"/>
    <w:rsid w:val="0024489A"/>
    <w:rsid w:val="002457C7"/>
    <w:rsid w:val="00245841"/>
    <w:rsid w:val="00245A38"/>
    <w:rsid w:val="00246418"/>
    <w:rsid w:val="0024672E"/>
    <w:rsid w:val="002467C1"/>
    <w:rsid w:val="00246904"/>
    <w:rsid w:val="00246AFA"/>
    <w:rsid w:val="00246D4E"/>
    <w:rsid w:val="00247142"/>
    <w:rsid w:val="0024744D"/>
    <w:rsid w:val="0024768E"/>
    <w:rsid w:val="0024790D"/>
    <w:rsid w:val="00247A8C"/>
    <w:rsid w:val="00247AD9"/>
    <w:rsid w:val="00247F1C"/>
    <w:rsid w:val="00250B82"/>
    <w:rsid w:val="00250F6F"/>
    <w:rsid w:val="00251321"/>
    <w:rsid w:val="002515A6"/>
    <w:rsid w:val="002515B7"/>
    <w:rsid w:val="00251C59"/>
    <w:rsid w:val="002521B7"/>
    <w:rsid w:val="00252421"/>
    <w:rsid w:val="00252682"/>
    <w:rsid w:val="00252ADC"/>
    <w:rsid w:val="00252FC0"/>
    <w:rsid w:val="0025321E"/>
    <w:rsid w:val="00253415"/>
    <w:rsid w:val="00253642"/>
    <w:rsid w:val="00253694"/>
    <w:rsid w:val="00253828"/>
    <w:rsid w:val="00253A7F"/>
    <w:rsid w:val="00253B03"/>
    <w:rsid w:val="0025403D"/>
    <w:rsid w:val="0025405E"/>
    <w:rsid w:val="00254141"/>
    <w:rsid w:val="0025424E"/>
    <w:rsid w:val="002542C8"/>
    <w:rsid w:val="002543F2"/>
    <w:rsid w:val="00254C66"/>
    <w:rsid w:val="00255296"/>
    <w:rsid w:val="0025535B"/>
    <w:rsid w:val="00255CC9"/>
    <w:rsid w:val="0025652F"/>
    <w:rsid w:val="00256620"/>
    <w:rsid w:val="00256677"/>
    <w:rsid w:val="00256D0D"/>
    <w:rsid w:val="00256F5E"/>
    <w:rsid w:val="00256F65"/>
    <w:rsid w:val="00257291"/>
    <w:rsid w:val="002573AB"/>
    <w:rsid w:val="0025780A"/>
    <w:rsid w:val="00257A22"/>
    <w:rsid w:val="00257A82"/>
    <w:rsid w:val="00257C66"/>
    <w:rsid w:val="00260051"/>
    <w:rsid w:val="002600E5"/>
    <w:rsid w:val="00260121"/>
    <w:rsid w:val="002603D0"/>
    <w:rsid w:val="002609F2"/>
    <w:rsid w:val="00260AD8"/>
    <w:rsid w:val="002612D7"/>
    <w:rsid w:val="00261A4E"/>
    <w:rsid w:val="00261D82"/>
    <w:rsid w:val="00261FB4"/>
    <w:rsid w:val="00262C40"/>
    <w:rsid w:val="00262E41"/>
    <w:rsid w:val="00263217"/>
    <w:rsid w:val="00263B6C"/>
    <w:rsid w:val="00264850"/>
    <w:rsid w:val="00264894"/>
    <w:rsid w:val="00264B28"/>
    <w:rsid w:val="00264B98"/>
    <w:rsid w:val="002656C5"/>
    <w:rsid w:val="002656D3"/>
    <w:rsid w:val="00265A12"/>
    <w:rsid w:val="00265CBA"/>
    <w:rsid w:val="00265D04"/>
    <w:rsid w:val="00265F16"/>
    <w:rsid w:val="002660C2"/>
    <w:rsid w:val="00266416"/>
    <w:rsid w:val="00266B2D"/>
    <w:rsid w:val="00266E21"/>
    <w:rsid w:val="00267013"/>
    <w:rsid w:val="00267360"/>
    <w:rsid w:val="00267516"/>
    <w:rsid w:val="0026762C"/>
    <w:rsid w:val="00267769"/>
    <w:rsid w:val="002677D6"/>
    <w:rsid w:val="00267B63"/>
    <w:rsid w:val="0027016B"/>
    <w:rsid w:val="002706FA"/>
    <w:rsid w:val="00270718"/>
    <w:rsid w:val="002709FB"/>
    <w:rsid w:val="00270C15"/>
    <w:rsid w:val="00270C37"/>
    <w:rsid w:val="00270EFB"/>
    <w:rsid w:val="00271040"/>
    <w:rsid w:val="00271055"/>
    <w:rsid w:val="0027185F"/>
    <w:rsid w:val="00271999"/>
    <w:rsid w:val="002724AE"/>
    <w:rsid w:val="00272939"/>
    <w:rsid w:val="00272EB1"/>
    <w:rsid w:val="00272F67"/>
    <w:rsid w:val="002735E8"/>
    <w:rsid w:val="0027362B"/>
    <w:rsid w:val="002736E9"/>
    <w:rsid w:val="00273B8D"/>
    <w:rsid w:val="0027414C"/>
    <w:rsid w:val="00274C59"/>
    <w:rsid w:val="00274D52"/>
    <w:rsid w:val="00274D9D"/>
    <w:rsid w:val="002750B5"/>
    <w:rsid w:val="0027560C"/>
    <w:rsid w:val="00275753"/>
    <w:rsid w:val="0027590B"/>
    <w:rsid w:val="00276156"/>
    <w:rsid w:val="00276228"/>
    <w:rsid w:val="00276AB7"/>
    <w:rsid w:val="00276C83"/>
    <w:rsid w:val="00276E27"/>
    <w:rsid w:val="00276E80"/>
    <w:rsid w:val="00276EAD"/>
    <w:rsid w:val="0027725D"/>
    <w:rsid w:val="002774B0"/>
    <w:rsid w:val="0028047A"/>
    <w:rsid w:val="002805CA"/>
    <w:rsid w:val="002807E1"/>
    <w:rsid w:val="002808FE"/>
    <w:rsid w:val="00280A03"/>
    <w:rsid w:val="00280F6A"/>
    <w:rsid w:val="00281AF2"/>
    <w:rsid w:val="00282424"/>
    <w:rsid w:val="0028269A"/>
    <w:rsid w:val="00282776"/>
    <w:rsid w:val="00282B18"/>
    <w:rsid w:val="002837EB"/>
    <w:rsid w:val="00283BF2"/>
    <w:rsid w:val="00283F94"/>
    <w:rsid w:val="0028403B"/>
    <w:rsid w:val="00284B3D"/>
    <w:rsid w:val="00284DA4"/>
    <w:rsid w:val="00284FF7"/>
    <w:rsid w:val="0028511F"/>
    <w:rsid w:val="0028513B"/>
    <w:rsid w:val="0028530B"/>
    <w:rsid w:val="0028568A"/>
    <w:rsid w:val="00285969"/>
    <w:rsid w:val="002859AF"/>
    <w:rsid w:val="00285F03"/>
    <w:rsid w:val="00285FA5"/>
    <w:rsid w:val="00286008"/>
    <w:rsid w:val="00286581"/>
    <w:rsid w:val="002865D5"/>
    <w:rsid w:val="00286712"/>
    <w:rsid w:val="00286C76"/>
    <w:rsid w:val="00286D92"/>
    <w:rsid w:val="0028721B"/>
    <w:rsid w:val="002872EB"/>
    <w:rsid w:val="002873CF"/>
    <w:rsid w:val="002875D5"/>
    <w:rsid w:val="00287854"/>
    <w:rsid w:val="002878E7"/>
    <w:rsid w:val="00287A35"/>
    <w:rsid w:val="00287F03"/>
    <w:rsid w:val="002903D7"/>
    <w:rsid w:val="002903FC"/>
    <w:rsid w:val="00290575"/>
    <w:rsid w:val="0029064F"/>
    <w:rsid w:val="00290C0A"/>
    <w:rsid w:val="00291519"/>
    <w:rsid w:val="0029163D"/>
    <w:rsid w:val="00291ACA"/>
    <w:rsid w:val="00291CA1"/>
    <w:rsid w:val="002923F9"/>
    <w:rsid w:val="002928D9"/>
    <w:rsid w:val="002930C8"/>
    <w:rsid w:val="0029334B"/>
    <w:rsid w:val="0029341B"/>
    <w:rsid w:val="00293726"/>
    <w:rsid w:val="002938DB"/>
    <w:rsid w:val="0029392C"/>
    <w:rsid w:val="00294009"/>
    <w:rsid w:val="0029493F"/>
    <w:rsid w:val="00294B57"/>
    <w:rsid w:val="00294D98"/>
    <w:rsid w:val="00294FC8"/>
    <w:rsid w:val="00295380"/>
    <w:rsid w:val="002955A6"/>
    <w:rsid w:val="00295619"/>
    <w:rsid w:val="00295E4C"/>
    <w:rsid w:val="002960A2"/>
    <w:rsid w:val="002961F7"/>
    <w:rsid w:val="00296268"/>
    <w:rsid w:val="0029683A"/>
    <w:rsid w:val="00296F65"/>
    <w:rsid w:val="00296FEF"/>
    <w:rsid w:val="002975DF"/>
    <w:rsid w:val="00297668"/>
    <w:rsid w:val="002979F3"/>
    <w:rsid w:val="00297A81"/>
    <w:rsid w:val="00297F67"/>
    <w:rsid w:val="002A0757"/>
    <w:rsid w:val="002A087A"/>
    <w:rsid w:val="002A088E"/>
    <w:rsid w:val="002A093B"/>
    <w:rsid w:val="002A0995"/>
    <w:rsid w:val="002A0DF8"/>
    <w:rsid w:val="002A10B9"/>
    <w:rsid w:val="002A16E7"/>
    <w:rsid w:val="002A1812"/>
    <w:rsid w:val="002A1E6F"/>
    <w:rsid w:val="002A21C4"/>
    <w:rsid w:val="002A32C5"/>
    <w:rsid w:val="002A360B"/>
    <w:rsid w:val="002A3836"/>
    <w:rsid w:val="002A38C9"/>
    <w:rsid w:val="002A396E"/>
    <w:rsid w:val="002A3972"/>
    <w:rsid w:val="002A3995"/>
    <w:rsid w:val="002A3AF3"/>
    <w:rsid w:val="002A3F81"/>
    <w:rsid w:val="002A3FC5"/>
    <w:rsid w:val="002A44AC"/>
    <w:rsid w:val="002A469E"/>
    <w:rsid w:val="002A4925"/>
    <w:rsid w:val="002A4B7A"/>
    <w:rsid w:val="002A4CD6"/>
    <w:rsid w:val="002A4EB1"/>
    <w:rsid w:val="002A5027"/>
    <w:rsid w:val="002A5061"/>
    <w:rsid w:val="002A5292"/>
    <w:rsid w:val="002A57A2"/>
    <w:rsid w:val="002A58FB"/>
    <w:rsid w:val="002A5B08"/>
    <w:rsid w:val="002A5ED2"/>
    <w:rsid w:val="002A5F33"/>
    <w:rsid w:val="002A62C5"/>
    <w:rsid w:val="002A654F"/>
    <w:rsid w:val="002A66F3"/>
    <w:rsid w:val="002A675B"/>
    <w:rsid w:val="002A6DC0"/>
    <w:rsid w:val="002A7030"/>
    <w:rsid w:val="002A7088"/>
    <w:rsid w:val="002A7205"/>
    <w:rsid w:val="002A74EF"/>
    <w:rsid w:val="002A7A29"/>
    <w:rsid w:val="002B0023"/>
    <w:rsid w:val="002B06BE"/>
    <w:rsid w:val="002B0A93"/>
    <w:rsid w:val="002B0B2F"/>
    <w:rsid w:val="002B0B7D"/>
    <w:rsid w:val="002B1224"/>
    <w:rsid w:val="002B1816"/>
    <w:rsid w:val="002B1A99"/>
    <w:rsid w:val="002B21AE"/>
    <w:rsid w:val="002B21C9"/>
    <w:rsid w:val="002B2523"/>
    <w:rsid w:val="002B2864"/>
    <w:rsid w:val="002B2A68"/>
    <w:rsid w:val="002B300F"/>
    <w:rsid w:val="002B314F"/>
    <w:rsid w:val="002B3829"/>
    <w:rsid w:val="002B3CAB"/>
    <w:rsid w:val="002B3D8D"/>
    <w:rsid w:val="002B410A"/>
    <w:rsid w:val="002B4193"/>
    <w:rsid w:val="002B4975"/>
    <w:rsid w:val="002B4B4F"/>
    <w:rsid w:val="002B4FA0"/>
    <w:rsid w:val="002B570D"/>
    <w:rsid w:val="002B59BD"/>
    <w:rsid w:val="002B5A55"/>
    <w:rsid w:val="002B5B19"/>
    <w:rsid w:val="002B5C93"/>
    <w:rsid w:val="002B5CE1"/>
    <w:rsid w:val="002B6308"/>
    <w:rsid w:val="002B6370"/>
    <w:rsid w:val="002B6674"/>
    <w:rsid w:val="002B6872"/>
    <w:rsid w:val="002B6AF7"/>
    <w:rsid w:val="002B6C18"/>
    <w:rsid w:val="002B6F49"/>
    <w:rsid w:val="002B6F9B"/>
    <w:rsid w:val="002B7D86"/>
    <w:rsid w:val="002C045D"/>
    <w:rsid w:val="002C04CB"/>
    <w:rsid w:val="002C0BDD"/>
    <w:rsid w:val="002C10A8"/>
    <w:rsid w:val="002C14DE"/>
    <w:rsid w:val="002C1735"/>
    <w:rsid w:val="002C176C"/>
    <w:rsid w:val="002C1D5B"/>
    <w:rsid w:val="002C20E4"/>
    <w:rsid w:val="002C2265"/>
    <w:rsid w:val="002C22B6"/>
    <w:rsid w:val="002C22EF"/>
    <w:rsid w:val="002C263E"/>
    <w:rsid w:val="002C289B"/>
    <w:rsid w:val="002C2CB0"/>
    <w:rsid w:val="002C2D78"/>
    <w:rsid w:val="002C2DCC"/>
    <w:rsid w:val="002C2EE0"/>
    <w:rsid w:val="002C35AC"/>
    <w:rsid w:val="002C39FB"/>
    <w:rsid w:val="002C3A3F"/>
    <w:rsid w:val="002C3EC3"/>
    <w:rsid w:val="002C4708"/>
    <w:rsid w:val="002C49FA"/>
    <w:rsid w:val="002C51EF"/>
    <w:rsid w:val="002C5607"/>
    <w:rsid w:val="002C5FF8"/>
    <w:rsid w:val="002C610F"/>
    <w:rsid w:val="002C6434"/>
    <w:rsid w:val="002C6D13"/>
    <w:rsid w:val="002C6D46"/>
    <w:rsid w:val="002C72F7"/>
    <w:rsid w:val="002C7306"/>
    <w:rsid w:val="002C7358"/>
    <w:rsid w:val="002C73F7"/>
    <w:rsid w:val="002C748A"/>
    <w:rsid w:val="002C779C"/>
    <w:rsid w:val="002C7B76"/>
    <w:rsid w:val="002D0435"/>
    <w:rsid w:val="002D0F8E"/>
    <w:rsid w:val="002D1102"/>
    <w:rsid w:val="002D128E"/>
    <w:rsid w:val="002D129E"/>
    <w:rsid w:val="002D1807"/>
    <w:rsid w:val="002D1875"/>
    <w:rsid w:val="002D1A3E"/>
    <w:rsid w:val="002D1A8E"/>
    <w:rsid w:val="002D1D6F"/>
    <w:rsid w:val="002D2EF3"/>
    <w:rsid w:val="002D30DA"/>
    <w:rsid w:val="002D341F"/>
    <w:rsid w:val="002D34DA"/>
    <w:rsid w:val="002D358D"/>
    <w:rsid w:val="002D35B7"/>
    <w:rsid w:val="002D3916"/>
    <w:rsid w:val="002D3BFD"/>
    <w:rsid w:val="002D3C61"/>
    <w:rsid w:val="002D3E45"/>
    <w:rsid w:val="002D4017"/>
    <w:rsid w:val="002D430A"/>
    <w:rsid w:val="002D439E"/>
    <w:rsid w:val="002D43D5"/>
    <w:rsid w:val="002D4A9D"/>
    <w:rsid w:val="002D4E24"/>
    <w:rsid w:val="002D5386"/>
    <w:rsid w:val="002D564B"/>
    <w:rsid w:val="002D59D5"/>
    <w:rsid w:val="002D5DEE"/>
    <w:rsid w:val="002D5EE4"/>
    <w:rsid w:val="002D61A2"/>
    <w:rsid w:val="002D67E7"/>
    <w:rsid w:val="002D67F1"/>
    <w:rsid w:val="002D6853"/>
    <w:rsid w:val="002D69F9"/>
    <w:rsid w:val="002D6BC3"/>
    <w:rsid w:val="002D73AB"/>
    <w:rsid w:val="002D76BC"/>
    <w:rsid w:val="002D77BA"/>
    <w:rsid w:val="002D78A1"/>
    <w:rsid w:val="002D7E04"/>
    <w:rsid w:val="002E005B"/>
    <w:rsid w:val="002E0360"/>
    <w:rsid w:val="002E0413"/>
    <w:rsid w:val="002E0B52"/>
    <w:rsid w:val="002E0E7E"/>
    <w:rsid w:val="002E0F7C"/>
    <w:rsid w:val="002E1B64"/>
    <w:rsid w:val="002E1E80"/>
    <w:rsid w:val="002E2108"/>
    <w:rsid w:val="002E25D7"/>
    <w:rsid w:val="002E26BB"/>
    <w:rsid w:val="002E3242"/>
    <w:rsid w:val="002E37F1"/>
    <w:rsid w:val="002E3CA0"/>
    <w:rsid w:val="002E42D7"/>
    <w:rsid w:val="002E454C"/>
    <w:rsid w:val="002E4892"/>
    <w:rsid w:val="002E5067"/>
    <w:rsid w:val="002E50C9"/>
    <w:rsid w:val="002E5332"/>
    <w:rsid w:val="002E5397"/>
    <w:rsid w:val="002E53CD"/>
    <w:rsid w:val="002E570A"/>
    <w:rsid w:val="002E5BE9"/>
    <w:rsid w:val="002E5FDC"/>
    <w:rsid w:val="002E663E"/>
    <w:rsid w:val="002E7053"/>
    <w:rsid w:val="002E716C"/>
    <w:rsid w:val="002E7207"/>
    <w:rsid w:val="002E73F9"/>
    <w:rsid w:val="002E783F"/>
    <w:rsid w:val="002E7866"/>
    <w:rsid w:val="002E7CC3"/>
    <w:rsid w:val="002E7DAD"/>
    <w:rsid w:val="002F05D9"/>
    <w:rsid w:val="002F07A4"/>
    <w:rsid w:val="002F07F2"/>
    <w:rsid w:val="002F0F14"/>
    <w:rsid w:val="002F1293"/>
    <w:rsid w:val="002F140A"/>
    <w:rsid w:val="002F1504"/>
    <w:rsid w:val="002F1916"/>
    <w:rsid w:val="002F1D3E"/>
    <w:rsid w:val="002F1E89"/>
    <w:rsid w:val="002F2357"/>
    <w:rsid w:val="002F2E6D"/>
    <w:rsid w:val="002F3309"/>
    <w:rsid w:val="002F33AB"/>
    <w:rsid w:val="002F385E"/>
    <w:rsid w:val="002F3FC0"/>
    <w:rsid w:val="002F403A"/>
    <w:rsid w:val="002F4BBF"/>
    <w:rsid w:val="002F4E32"/>
    <w:rsid w:val="002F51D7"/>
    <w:rsid w:val="002F54A4"/>
    <w:rsid w:val="002F55FE"/>
    <w:rsid w:val="002F579C"/>
    <w:rsid w:val="002F586E"/>
    <w:rsid w:val="002F5ECC"/>
    <w:rsid w:val="002F615C"/>
    <w:rsid w:val="002F617F"/>
    <w:rsid w:val="002F6398"/>
    <w:rsid w:val="002F659D"/>
    <w:rsid w:val="002F6962"/>
    <w:rsid w:val="002F6AF1"/>
    <w:rsid w:val="002F6B5B"/>
    <w:rsid w:val="002F6BD5"/>
    <w:rsid w:val="002F6FD8"/>
    <w:rsid w:val="002F7135"/>
    <w:rsid w:val="002F7314"/>
    <w:rsid w:val="002F75FD"/>
    <w:rsid w:val="002F7902"/>
    <w:rsid w:val="002F7D36"/>
    <w:rsid w:val="002F7F7F"/>
    <w:rsid w:val="003000B7"/>
    <w:rsid w:val="00300109"/>
    <w:rsid w:val="003003CF"/>
    <w:rsid w:val="00300764"/>
    <w:rsid w:val="00300828"/>
    <w:rsid w:val="00300858"/>
    <w:rsid w:val="0030094B"/>
    <w:rsid w:val="00300C2B"/>
    <w:rsid w:val="00301232"/>
    <w:rsid w:val="00301659"/>
    <w:rsid w:val="00301683"/>
    <w:rsid w:val="0030168C"/>
    <w:rsid w:val="003016E3"/>
    <w:rsid w:val="00301755"/>
    <w:rsid w:val="00301A33"/>
    <w:rsid w:val="00301A45"/>
    <w:rsid w:val="00301E89"/>
    <w:rsid w:val="003020E9"/>
    <w:rsid w:val="003022D5"/>
    <w:rsid w:val="00302723"/>
    <w:rsid w:val="00303363"/>
    <w:rsid w:val="00303D18"/>
    <w:rsid w:val="0030413F"/>
    <w:rsid w:val="0030416A"/>
    <w:rsid w:val="0030427A"/>
    <w:rsid w:val="00304313"/>
    <w:rsid w:val="0030438E"/>
    <w:rsid w:val="00304481"/>
    <w:rsid w:val="00304A06"/>
    <w:rsid w:val="00304FBA"/>
    <w:rsid w:val="0030536F"/>
    <w:rsid w:val="00305F20"/>
    <w:rsid w:val="00306286"/>
    <w:rsid w:val="003063DF"/>
    <w:rsid w:val="0030665E"/>
    <w:rsid w:val="00306894"/>
    <w:rsid w:val="00306928"/>
    <w:rsid w:val="00306FAC"/>
    <w:rsid w:val="00307603"/>
    <w:rsid w:val="00307C34"/>
    <w:rsid w:val="00307E9D"/>
    <w:rsid w:val="0031058A"/>
    <w:rsid w:val="00310EB2"/>
    <w:rsid w:val="00310EEE"/>
    <w:rsid w:val="0031111F"/>
    <w:rsid w:val="0031119A"/>
    <w:rsid w:val="003113F0"/>
    <w:rsid w:val="00311569"/>
    <w:rsid w:val="003119AA"/>
    <w:rsid w:val="00311B61"/>
    <w:rsid w:val="003122F4"/>
    <w:rsid w:val="0031289B"/>
    <w:rsid w:val="00312985"/>
    <w:rsid w:val="00312C69"/>
    <w:rsid w:val="0031326C"/>
    <w:rsid w:val="003136CD"/>
    <w:rsid w:val="00313E81"/>
    <w:rsid w:val="0031443F"/>
    <w:rsid w:val="00314786"/>
    <w:rsid w:val="00314B38"/>
    <w:rsid w:val="00314C05"/>
    <w:rsid w:val="00314D7D"/>
    <w:rsid w:val="0031538F"/>
    <w:rsid w:val="003157CF"/>
    <w:rsid w:val="00315ACB"/>
    <w:rsid w:val="00315CF9"/>
    <w:rsid w:val="00315DCB"/>
    <w:rsid w:val="003166BC"/>
    <w:rsid w:val="0031686A"/>
    <w:rsid w:val="00316A64"/>
    <w:rsid w:val="00316BC3"/>
    <w:rsid w:val="00316EBE"/>
    <w:rsid w:val="00316FD6"/>
    <w:rsid w:val="003173DA"/>
    <w:rsid w:val="00317658"/>
    <w:rsid w:val="00317739"/>
    <w:rsid w:val="003177BA"/>
    <w:rsid w:val="0031799B"/>
    <w:rsid w:val="00317D7C"/>
    <w:rsid w:val="00317E40"/>
    <w:rsid w:val="00320162"/>
    <w:rsid w:val="003201C2"/>
    <w:rsid w:val="0032059F"/>
    <w:rsid w:val="003206C9"/>
    <w:rsid w:val="003206DD"/>
    <w:rsid w:val="00320726"/>
    <w:rsid w:val="003208D7"/>
    <w:rsid w:val="00320C50"/>
    <w:rsid w:val="00320F31"/>
    <w:rsid w:val="00321220"/>
    <w:rsid w:val="00321269"/>
    <w:rsid w:val="003213EC"/>
    <w:rsid w:val="003217FB"/>
    <w:rsid w:val="00321F32"/>
    <w:rsid w:val="00322016"/>
    <w:rsid w:val="0032217C"/>
    <w:rsid w:val="003221B1"/>
    <w:rsid w:val="003226C4"/>
    <w:rsid w:val="00322780"/>
    <w:rsid w:val="0032295A"/>
    <w:rsid w:val="003231EA"/>
    <w:rsid w:val="00323600"/>
    <w:rsid w:val="00323832"/>
    <w:rsid w:val="00323A8E"/>
    <w:rsid w:val="00323B4F"/>
    <w:rsid w:val="00324B8E"/>
    <w:rsid w:val="00324C21"/>
    <w:rsid w:val="00324C27"/>
    <w:rsid w:val="00325402"/>
    <w:rsid w:val="00325708"/>
    <w:rsid w:val="00325917"/>
    <w:rsid w:val="00325A64"/>
    <w:rsid w:val="00325E9A"/>
    <w:rsid w:val="00325EA3"/>
    <w:rsid w:val="00326169"/>
    <w:rsid w:val="0032644F"/>
    <w:rsid w:val="003268D5"/>
    <w:rsid w:val="00326AFA"/>
    <w:rsid w:val="00326D41"/>
    <w:rsid w:val="00327326"/>
    <w:rsid w:val="0032748C"/>
    <w:rsid w:val="0032754E"/>
    <w:rsid w:val="0032773C"/>
    <w:rsid w:val="003278A8"/>
    <w:rsid w:val="003279AC"/>
    <w:rsid w:val="003279E0"/>
    <w:rsid w:val="00327CD6"/>
    <w:rsid w:val="00327FE4"/>
    <w:rsid w:val="0033001C"/>
    <w:rsid w:val="00330A23"/>
    <w:rsid w:val="00330D2B"/>
    <w:rsid w:val="00331042"/>
    <w:rsid w:val="0033144B"/>
    <w:rsid w:val="003315C4"/>
    <w:rsid w:val="00331861"/>
    <w:rsid w:val="00331923"/>
    <w:rsid w:val="00331D0B"/>
    <w:rsid w:val="00331D11"/>
    <w:rsid w:val="00331DFE"/>
    <w:rsid w:val="00331E58"/>
    <w:rsid w:val="00332225"/>
    <w:rsid w:val="003324C0"/>
    <w:rsid w:val="003324D9"/>
    <w:rsid w:val="003326E9"/>
    <w:rsid w:val="0033293B"/>
    <w:rsid w:val="003329A5"/>
    <w:rsid w:val="003329F5"/>
    <w:rsid w:val="00332B1C"/>
    <w:rsid w:val="00333149"/>
    <w:rsid w:val="00333B0E"/>
    <w:rsid w:val="00333E4A"/>
    <w:rsid w:val="00333F52"/>
    <w:rsid w:val="0033413C"/>
    <w:rsid w:val="003347DB"/>
    <w:rsid w:val="00334D6A"/>
    <w:rsid w:val="00334D7F"/>
    <w:rsid w:val="00335841"/>
    <w:rsid w:val="0033593D"/>
    <w:rsid w:val="00335CDC"/>
    <w:rsid w:val="00335E91"/>
    <w:rsid w:val="00336791"/>
    <w:rsid w:val="00336913"/>
    <w:rsid w:val="00336B54"/>
    <w:rsid w:val="00337013"/>
    <w:rsid w:val="003371E6"/>
    <w:rsid w:val="003379DA"/>
    <w:rsid w:val="00337B69"/>
    <w:rsid w:val="00337BB1"/>
    <w:rsid w:val="00337BC4"/>
    <w:rsid w:val="00337E94"/>
    <w:rsid w:val="0034027E"/>
    <w:rsid w:val="003402C9"/>
    <w:rsid w:val="0034047E"/>
    <w:rsid w:val="003406CE"/>
    <w:rsid w:val="00340707"/>
    <w:rsid w:val="0034087A"/>
    <w:rsid w:val="003409D8"/>
    <w:rsid w:val="00340DCC"/>
    <w:rsid w:val="0034148D"/>
    <w:rsid w:val="00341570"/>
    <w:rsid w:val="0034170E"/>
    <w:rsid w:val="00342019"/>
    <w:rsid w:val="00342454"/>
    <w:rsid w:val="0034245E"/>
    <w:rsid w:val="00342FF0"/>
    <w:rsid w:val="003430C3"/>
    <w:rsid w:val="003433C5"/>
    <w:rsid w:val="003435FA"/>
    <w:rsid w:val="00343857"/>
    <w:rsid w:val="00343998"/>
    <w:rsid w:val="003439E5"/>
    <w:rsid w:val="00344053"/>
    <w:rsid w:val="00344088"/>
    <w:rsid w:val="003440A8"/>
    <w:rsid w:val="003445BD"/>
    <w:rsid w:val="003448C9"/>
    <w:rsid w:val="003448E5"/>
    <w:rsid w:val="003448F6"/>
    <w:rsid w:val="00344B69"/>
    <w:rsid w:val="00344E63"/>
    <w:rsid w:val="00345092"/>
    <w:rsid w:val="003450AE"/>
    <w:rsid w:val="00345518"/>
    <w:rsid w:val="00345864"/>
    <w:rsid w:val="00346451"/>
    <w:rsid w:val="003466A9"/>
    <w:rsid w:val="0034691D"/>
    <w:rsid w:val="0034696E"/>
    <w:rsid w:val="00346E8D"/>
    <w:rsid w:val="0034715B"/>
    <w:rsid w:val="00347556"/>
    <w:rsid w:val="003475DE"/>
    <w:rsid w:val="00347ABA"/>
    <w:rsid w:val="00347E8C"/>
    <w:rsid w:val="00347FDE"/>
    <w:rsid w:val="003502C4"/>
    <w:rsid w:val="00350759"/>
    <w:rsid w:val="00350AA4"/>
    <w:rsid w:val="00350E47"/>
    <w:rsid w:val="00350F73"/>
    <w:rsid w:val="003513FF"/>
    <w:rsid w:val="003514B0"/>
    <w:rsid w:val="003516DB"/>
    <w:rsid w:val="00351A55"/>
    <w:rsid w:val="00351C1B"/>
    <w:rsid w:val="00351C68"/>
    <w:rsid w:val="00351E73"/>
    <w:rsid w:val="00351F54"/>
    <w:rsid w:val="0035210C"/>
    <w:rsid w:val="00352172"/>
    <w:rsid w:val="00352534"/>
    <w:rsid w:val="003529E3"/>
    <w:rsid w:val="00352A30"/>
    <w:rsid w:val="00352B8A"/>
    <w:rsid w:val="00352BF9"/>
    <w:rsid w:val="00352DE0"/>
    <w:rsid w:val="00352E49"/>
    <w:rsid w:val="00352EF3"/>
    <w:rsid w:val="0035340D"/>
    <w:rsid w:val="00353523"/>
    <w:rsid w:val="00353AB4"/>
    <w:rsid w:val="00354172"/>
    <w:rsid w:val="0035428A"/>
    <w:rsid w:val="0035442B"/>
    <w:rsid w:val="003549D4"/>
    <w:rsid w:val="00354CC1"/>
    <w:rsid w:val="00354D27"/>
    <w:rsid w:val="0035535D"/>
    <w:rsid w:val="003558A3"/>
    <w:rsid w:val="0035600F"/>
    <w:rsid w:val="00356B25"/>
    <w:rsid w:val="00356EC8"/>
    <w:rsid w:val="00356F84"/>
    <w:rsid w:val="00357246"/>
    <w:rsid w:val="0035738A"/>
    <w:rsid w:val="00357459"/>
    <w:rsid w:val="003577F6"/>
    <w:rsid w:val="0035789C"/>
    <w:rsid w:val="00357A23"/>
    <w:rsid w:val="00357A8B"/>
    <w:rsid w:val="00357BBF"/>
    <w:rsid w:val="00360388"/>
    <w:rsid w:val="003608B4"/>
    <w:rsid w:val="00360A18"/>
    <w:rsid w:val="00360B12"/>
    <w:rsid w:val="0036108D"/>
    <w:rsid w:val="003618AA"/>
    <w:rsid w:val="0036192B"/>
    <w:rsid w:val="00362118"/>
    <w:rsid w:val="0036232F"/>
    <w:rsid w:val="00362A82"/>
    <w:rsid w:val="00362B42"/>
    <w:rsid w:val="00362B72"/>
    <w:rsid w:val="00362FE0"/>
    <w:rsid w:val="00363182"/>
    <w:rsid w:val="00363A4B"/>
    <w:rsid w:val="00363F06"/>
    <w:rsid w:val="00363FE3"/>
    <w:rsid w:val="00364378"/>
    <w:rsid w:val="00364C36"/>
    <w:rsid w:val="00364CB7"/>
    <w:rsid w:val="00364E6F"/>
    <w:rsid w:val="00364FFC"/>
    <w:rsid w:val="00365005"/>
    <w:rsid w:val="00365120"/>
    <w:rsid w:val="003652D9"/>
    <w:rsid w:val="00365388"/>
    <w:rsid w:val="003653B4"/>
    <w:rsid w:val="00365510"/>
    <w:rsid w:val="003658BE"/>
    <w:rsid w:val="00365AFB"/>
    <w:rsid w:val="00366061"/>
    <w:rsid w:val="00366642"/>
    <w:rsid w:val="00366823"/>
    <w:rsid w:val="00366D52"/>
    <w:rsid w:val="00366E16"/>
    <w:rsid w:val="0036721F"/>
    <w:rsid w:val="0036727E"/>
    <w:rsid w:val="00367947"/>
    <w:rsid w:val="00367F7E"/>
    <w:rsid w:val="0037025B"/>
    <w:rsid w:val="003702CE"/>
    <w:rsid w:val="00370327"/>
    <w:rsid w:val="00370F18"/>
    <w:rsid w:val="003712ED"/>
    <w:rsid w:val="0037160F"/>
    <w:rsid w:val="003718E8"/>
    <w:rsid w:val="003719B6"/>
    <w:rsid w:val="00371AB5"/>
    <w:rsid w:val="00371B70"/>
    <w:rsid w:val="00372027"/>
    <w:rsid w:val="003723B0"/>
    <w:rsid w:val="003723D1"/>
    <w:rsid w:val="00372529"/>
    <w:rsid w:val="00372EDD"/>
    <w:rsid w:val="003730A4"/>
    <w:rsid w:val="0037315E"/>
    <w:rsid w:val="00373DBF"/>
    <w:rsid w:val="00373E7B"/>
    <w:rsid w:val="0037413D"/>
    <w:rsid w:val="00374362"/>
    <w:rsid w:val="00374B82"/>
    <w:rsid w:val="00374FEE"/>
    <w:rsid w:val="00375204"/>
    <w:rsid w:val="00375DEA"/>
    <w:rsid w:val="00375F4C"/>
    <w:rsid w:val="00376270"/>
    <w:rsid w:val="0037675A"/>
    <w:rsid w:val="00376F03"/>
    <w:rsid w:val="00376F31"/>
    <w:rsid w:val="00377095"/>
    <w:rsid w:val="00377784"/>
    <w:rsid w:val="003779E5"/>
    <w:rsid w:val="00377B82"/>
    <w:rsid w:val="00380057"/>
    <w:rsid w:val="003802A8"/>
    <w:rsid w:val="00380944"/>
    <w:rsid w:val="0038160A"/>
    <w:rsid w:val="0038180A"/>
    <w:rsid w:val="00381875"/>
    <w:rsid w:val="00381FAA"/>
    <w:rsid w:val="0038224F"/>
    <w:rsid w:val="00382496"/>
    <w:rsid w:val="00382512"/>
    <w:rsid w:val="00382529"/>
    <w:rsid w:val="003826D4"/>
    <w:rsid w:val="003826DE"/>
    <w:rsid w:val="00382EA4"/>
    <w:rsid w:val="0038318E"/>
    <w:rsid w:val="00383650"/>
    <w:rsid w:val="00384261"/>
    <w:rsid w:val="00384265"/>
    <w:rsid w:val="00384390"/>
    <w:rsid w:val="00384471"/>
    <w:rsid w:val="00384537"/>
    <w:rsid w:val="00384B5B"/>
    <w:rsid w:val="00384C42"/>
    <w:rsid w:val="00384CF4"/>
    <w:rsid w:val="003853DE"/>
    <w:rsid w:val="00385644"/>
    <w:rsid w:val="0038568C"/>
    <w:rsid w:val="003856ED"/>
    <w:rsid w:val="003857B8"/>
    <w:rsid w:val="003858A6"/>
    <w:rsid w:val="00385B39"/>
    <w:rsid w:val="00385CDA"/>
    <w:rsid w:val="00385E0E"/>
    <w:rsid w:val="0038625C"/>
    <w:rsid w:val="00386835"/>
    <w:rsid w:val="00386ACA"/>
    <w:rsid w:val="00386FE6"/>
    <w:rsid w:val="0038708F"/>
    <w:rsid w:val="00387423"/>
    <w:rsid w:val="003874AF"/>
    <w:rsid w:val="00387EB0"/>
    <w:rsid w:val="00387EF2"/>
    <w:rsid w:val="0039008B"/>
    <w:rsid w:val="00390225"/>
    <w:rsid w:val="003903AE"/>
    <w:rsid w:val="00390423"/>
    <w:rsid w:val="003905A6"/>
    <w:rsid w:val="0039079F"/>
    <w:rsid w:val="00390AE2"/>
    <w:rsid w:val="00390C2F"/>
    <w:rsid w:val="00390E5F"/>
    <w:rsid w:val="00390FC6"/>
    <w:rsid w:val="00391065"/>
    <w:rsid w:val="003910A9"/>
    <w:rsid w:val="0039118C"/>
    <w:rsid w:val="00391718"/>
    <w:rsid w:val="00391783"/>
    <w:rsid w:val="003918D9"/>
    <w:rsid w:val="003918F2"/>
    <w:rsid w:val="00391C1F"/>
    <w:rsid w:val="00391F2B"/>
    <w:rsid w:val="00392A25"/>
    <w:rsid w:val="00392DCC"/>
    <w:rsid w:val="003932A0"/>
    <w:rsid w:val="003939CC"/>
    <w:rsid w:val="00393D58"/>
    <w:rsid w:val="00393E32"/>
    <w:rsid w:val="00393EC4"/>
    <w:rsid w:val="00393FEE"/>
    <w:rsid w:val="003943D4"/>
    <w:rsid w:val="00394454"/>
    <w:rsid w:val="00394BF6"/>
    <w:rsid w:val="00394D24"/>
    <w:rsid w:val="00394E03"/>
    <w:rsid w:val="0039524D"/>
    <w:rsid w:val="00395327"/>
    <w:rsid w:val="00395392"/>
    <w:rsid w:val="003954FE"/>
    <w:rsid w:val="003955DE"/>
    <w:rsid w:val="003957FC"/>
    <w:rsid w:val="00395CA2"/>
    <w:rsid w:val="00396113"/>
    <w:rsid w:val="003968B6"/>
    <w:rsid w:val="00396967"/>
    <w:rsid w:val="003A0244"/>
    <w:rsid w:val="003A0A3B"/>
    <w:rsid w:val="003A0E34"/>
    <w:rsid w:val="003A0EE1"/>
    <w:rsid w:val="003A112E"/>
    <w:rsid w:val="003A15AB"/>
    <w:rsid w:val="003A16B0"/>
    <w:rsid w:val="003A1762"/>
    <w:rsid w:val="003A1D76"/>
    <w:rsid w:val="003A2205"/>
    <w:rsid w:val="003A2666"/>
    <w:rsid w:val="003A27F5"/>
    <w:rsid w:val="003A318C"/>
    <w:rsid w:val="003A31FE"/>
    <w:rsid w:val="003A325A"/>
    <w:rsid w:val="003A32EC"/>
    <w:rsid w:val="003A33AA"/>
    <w:rsid w:val="003A3433"/>
    <w:rsid w:val="003A361A"/>
    <w:rsid w:val="003A3639"/>
    <w:rsid w:val="003A3A2C"/>
    <w:rsid w:val="003A3BBC"/>
    <w:rsid w:val="003A437F"/>
    <w:rsid w:val="003A44E0"/>
    <w:rsid w:val="003A4697"/>
    <w:rsid w:val="003A49E0"/>
    <w:rsid w:val="003A519C"/>
    <w:rsid w:val="003A53A2"/>
    <w:rsid w:val="003A5B36"/>
    <w:rsid w:val="003A5E22"/>
    <w:rsid w:val="003A625F"/>
    <w:rsid w:val="003A62C7"/>
    <w:rsid w:val="003A63AB"/>
    <w:rsid w:val="003A66F5"/>
    <w:rsid w:val="003A6E14"/>
    <w:rsid w:val="003A77D0"/>
    <w:rsid w:val="003A7A20"/>
    <w:rsid w:val="003B0374"/>
    <w:rsid w:val="003B03A4"/>
    <w:rsid w:val="003B060A"/>
    <w:rsid w:val="003B079C"/>
    <w:rsid w:val="003B0BEF"/>
    <w:rsid w:val="003B0DC0"/>
    <w:rsid w:val="003B1359"/>
    <w:rsid w:val="003B146D"/>
    <w:rsid w:val="003B1579"/>
    <w:rsid w:val="003B176D"/>
    <w:rsid w:val="003B1DB2"/>
    <w:rsid w:val="003B23E5"/>
    <w:rsid w:val="003B26C5"/>
    <w:rsid w:val="003B2E01"/>
    <w:rsid w:val="003B3B1F"/>
    <w:rsid w:val="003B41AD"/>
    <w:rsid w:val="003B4339"/>
    <w:rsid w:val="003B4432"/>
    <w:rsid w:val="003B4738"/>
    <w:rsid w:val="003B4AEE"/>
    <w:rsid w:val="003B4C44"/>
    <w:rsid w:val="003B4EBD"/>
    <w:rsid w:val="003B5059"/>
    <w:rsid w:val="003B5202"/>
    <w:rsid w:val="003B5402"/>
    <w:rsid w:val="003B54D4"/>
    <w:rsid w:val="003B5DAE"/>
    <w:rsid w:val="003B6191"/>
    <w:rsid w:val="003B61DE"/>
    <w:rsid w:val="003B62B9"/>
    <w:rsid w:val="003B672A"/>
    <w:rsid w:val="003B6F23"/>
    <w:rsid w:val="003B7AB6"/>
    <w:rsid w:val="003B7C1C"/>
    <w:rsid w:val="003B7C3A"/>
    <w:rsid w:val="003B7F9C"/>
    <w:rsid w:val="003C050E"/>
    <w:rsid w:val="003C0847"/>
    <w:rsid w:val="003C09F7"/>
    <w:rsid w:val="003C11B9"/>
    <w:rsid w:val="003C1247"/>
    <w:rsid w:val="003C1268"/>
    <w:rsid w:val="003C144D"/>
    <w:rsid w:val="003C16F0"/>
    <w:rsid w:val="003C194D"/>
    <w:rsid w:val="003C1CA4"/>
    <w:rsid w:val="003C1EE1"/>
    <w:rsid w:val="003C2143"/>
    <w:rsid w:val="003C24B4"/>
    <w:rsid w:val="003C2761"/>
    <w:rsid w:val="003C2ACA"/>
    <w:rsid w:val="003C2C44"/>
    <w:rsid w:val="003C2D23"/>
    <w:rsid w:val="003C2F01"/>
    <w:rsid w:val="003C31A3"/>
    <w:rsid w:val="003C32AE"/>
    <w:rsid w:val="003C342C"/>
    <w:rsid w:val="003C39E6"/>
    <w:rsid w:val="003C3AFE"/>
    <w:rsid w:val="003C42AB"/>
    <w:rsid w:val="003C484F"/>
    <w:rsid w:val="003C510F"/>
    <w:rsid w:val="003C5397"/>
    <w:rsid w:val="003C5405"/>
    <w:rsid w:val="003C5ED7"/>
    <w:rsid w:val="003C5F85"/>
    <w:rsid w:val="003C5FAB"/>
    <w:rsid w:val="003C61B2"/>
    <w:rsid w:val="003C623B"/>
    <w:rsid w:val="003C6249"/>
    <w:rsid w:val="003C63AE"/>
    <w:rsid w:val="003C6798"/>
    <w:rsid w:val="003C67DD"/>
    <w:rsid w:val="003C68EE"/>
    <w:rsid w:val="003C6973"/>
    <w:rsid w:val="003C6F73"/>
    <w:rsid w:val="003C6FAB"/>
    <w:rsid w:val="003C7703"/>
    <w:rsid w:val="003C77E1"/>
    <w:rsid w:val="003C7834"/>
    <w:rsid w:val="003C79D7"/>
    <w:rsid w:val="003C7DFD"/>
    <w:rsid w:val="003D01D0"/>
    <w:rsid w:val="003D0463"/>
    <w:rsid w:val="003D06A3"/>
    <w:rsid w:val="003D0790"/>
    <w:rsid w:val="003D082A"/>
    <w:rsid w:val="003D0C5F"/>
    <w:rsid w:val="003D0D7E"/>
    <w:rsid w:val="003D0E39"/>
    <w:rsid w:val="003D0FAC"/>
    <w:rsid w:val="003D142D"/>
    <w:rsid w:val="003D186C"/>
    <w:rsid w:val="003D1891"/>
    <w:rsid w:val="003D1B9E"/>
    <w:rsid w:val="003D2711"/>
    <w:rsid w:val="003D28D9"/>
    <w:rsid w:val="003D2927"/>
    <w:rsid w:val="003D337B"/>
    <w:rsid w:val="003D3802"/>
    <w:rsid w:val="003D39E5"/>
    <w:rsid w:val="003D3B13"/>
    <w:rsid w:val="003D418F"/>
    <w:rsid w:val="003D4396"/>
    <w:rsid w:val="003D44AD"/>
    <w:rsid w:val="003D4749"/>
    <w:rsid w:val="003D48B9"/>
    <w:rsid w:val="003D4C8E"/>
    <w:rsid w:val="003D55D3"/>
    <w:rsid w:val="003D55F6"/>
    <w:rsid w:val="003D5F5D"/>
    <w:rsid w:val="003D6EA3"/>
    <w:rsid w:val="003D7111"/>
    <w:rsid w:val="003D711C"/>
    <w:rsid w:val="003D7698"/>
    <w:rsid w:val="003D7BA2"/>
    <w:rsid w:val="003D7F98"/>
    <w:rsid w:val="003D7FF6"/>
    <w:rsid w:val="003E01EF"/>
    <w:rsid w:val="003E04C5"/>
    <w:rsid w:val="003E0822"/>
    <w:rsid w:val="003E0A98"/>
    <w:rsid w:val="003E0E56"/>
    <w:rsid w:val="003E13F6"/>
    <w:rsid w:val="003E15B1"/>
    <w:rsid w:val="003E1823"/>
    <w:rsid w:val="003E1D44"/>
    <w:rsid w:val="003E1E7C"/>
    <w:rsid w:val="003E1EC1"/>
    <w:rsid w:val="003E1F04"/>
    <w:rsid w:val="003E2075"/>
    <w:rsid w:val="003E20D6"/>
    <w:rsid w:val="003E224E"/>
    <w:rsid w:val="003E2324"/>
    <w:rsid w:val="003E284F"/>
    <w:rsid w:val="003E2C62"/>
    <w:rsid w:val="003E3516"/>
    <w:rsid w:val="003E35FB"/>
    <w:rsid w:val="003E363C"/>
    <w:rsid w:val="003E3B00"/>
    <w:rsid w:val="003E3B63"/>
    <w:rsid w:val="003E3E26"/>
    <w:rsid w:val="003E406B"/>
    <w:rsid w:val="003E4325"/>
    <w:rsid w:val="003E448C"/>
    <w:rsid w:val="003E454E"/>
    <w:rsid w:val="003E458E"/>
    <w:rsid w:val="003E45FA"/>
    <w:rsid w:val="003E4D4F"/>
    <w:rsid w:val="003E4D87"/>
    <w:rsid w:val="003E4D9D"/>
    <w:rsid w:val="003E4E62"/>
    <w:rsid w:val="003E4EC6"/>
    <w:rsid w:val="003E4FE8"/>
    <w:rsid w:val="003E5871"/>
    <w:rsid w:val="003E5D6A"/>
    <w:rsid w:val="003E5DB9"/>
    <w:rsid w:val="003E630C"/>
    <w:rsid w:val="003E680D"/>
    <w:rsid w:val="003E6B44"/>
    <w:rsid w:val="003E6DFA"/>
    <w:rsid w:val="003E6F01"/>
    <w:rsid w:val="003E79A6"/>
    <w:rsid w:val="003E7F67"/>
    <w:rsid w:val="003F02A3"/>
    <w:rsid w:val="003F04A4"/>
    <w:rsid w:val="003F05A4"/>
    <w:rsid w:val="003F08D0"/>
    <w:rsid w:val="003F0E40"/>
    <w:rsid w:val="003F0FF0"/>
    <w:rsid w:val="003F10C4"/>
    <w:rsid w:val="003F112E"/>
    <w:rsid w:val="003F11AE"/>
    <w:rsid w:val="003F125A"/>
    <w:rsid w:val="003F20F5"/>
    <w:rsid w:val="003F2388"/>
    <w:rsid w:val="003F2439"/>
    <w:rsid w:val="003F271A"/>
    <w:rsid w:val="003F2C5D"/>
    <w:rsid w:val="003F2DDE"/>
    <w:rsid w:val="003F2F81"/>
    <w:rsid w:val="003F321F"/>
    <w:rsid w:val="003F3868"/>
    <w:rsid w:val="003F3BF4"/>
    <w:rsid w:val="003F3D9E"/>
    <w:rsid w:val="003F3E57"/>
    <w:rsid w:val="003F489D"/>
    <w:rsid w:val="003F4F4C"/>
    <w:rsid w:val="003F5143"/>
    <w:rsid w:val="003F5348"/>
    <w:rsid w:val="003F592D"/>
    <w:rsid w:val="003F5D6E"/>
    <w:rsid w:val="003F62AE"/>
    <w:rsid w:val="003F62F8"/>
    <w:rsid w:val="003F6A1C"/>
    <w:rsid w:val="003F6B5B"/>
    <w:rsid w:val="003F6CCC"/>
    <w:rsid w:val="003F6EDD"/>
    <w:rsid w:val="003F740E"/>
    <w:rsid w:val="003F7579"/>
    <w:rsid w:val="004001D9"/>
    <w:rsid w:val="0040076E"/>
    <w:rsid w:val="0040080B"/>
    <w:rsid w:val="00400CB3"/>
    <w:rsid w:val="00401057"/>
    <w:rsid w:val="00401082"/>
    <w:rsid w:val="004014B6"/>
    <w:rsid w:val="004016A3"/>
    <w:rsid w:val="004016CD"/>
    <w:rsid w:val="00401829"/>
    <w:rsid w:val="00401A0D"/>
    <w:rsid w:val="00401D51"/>
    <w:rsid w:val="00401FDB"/>
    <w:rsid w:val="0040254D"/>
    <w:rsid w:val="004028B3"/>
    <w:rsid w:val="00402B6B"/>
    <w:rsid w:val="00403065"/>
    <w:rsid w:val="00403135"/>
    <w:rsid w:val="0040319B"/>
    <w:rsid w:val="004032C2"/>
    <w:rsid w:val="00403652"/>
    <w:rsid w:val="00403DCA"/>
    <w:rsid w:val="004040FD"/>
    <w:rsid w:val="00404321"/>
    <w:rsid w:val="004043B6"/>
    <w:rsid w:val="004044B9"/>
    <w:rsid w:val="004045B6"/>
    <w:rsid w:val="004045CA"/>
    <w:rsid w:val="00404662"/>
    <w:rsid w:val="00404C6A"/>
    <w:rsid w:val="00404FC2"/>
    <w:rsid w:val="00405726"/>
    <w:rsid w:val="00405D0B"/>
    <w:rsid w:val="00405E4B"/>
    <w:rsid w:val="0040601E"/>
    <w:rsid w:val="004062CB"/>
    <w:rsid w:val="00406356"/>
    <w:rsid w:val="0040646C"/>
    <w:rsid w:val="004064D8"/>
    <w:rsid w:val="004074CB"/>
    <w:rsid w:val="004077E2"/>
    <w:rsid w:val="00407820"/>
    <w:rsid w:val="004079E4"/>
    <w:rsid w:val="00407B6A"/>
    <w:rsid w:val="00407DA2"/>
    <w:rsid w:val="004106E7"/>
    <w:rsid w:val="00410940"/>
    <w:rsid w:val="00410D80"/>
    <w:rsid w:val="00411258"/>
    <w:rsid w:val="00411485"/>
    <w:rsid w:val="00412463"/>
    <w:rsid w:val="004128FB"/>
    <w:rsid w:val="00412ABF"/>
    <w:rsid w:val="00412CC7"/>
    <w:rsid w:val="00413AEB"/>
    <w:rsid w:val="00413DAA"/>
    <w:rsid w:val="00413F2B"/>
    <w:rsid w:val="004140E7"/>
    <w:rsid w:val="00414104"/>
    <w:rsid w:val="00414164"/>
    <w:rsid w:val="00414A2D"/>
    <w:rsid w:val="00414EDF"/>
    <w:rsid w:val="0041504D"/>
    <w:rsid w:val="0041576B"/>
    <w:rsid w:val="00415955"/>
    <w:rsid w:val="00415A4E"/>
    <w:rsid w:val="00415AF3"/>
    <w:rsid w:val="004164A8"/>
    <w:rsid w:val="00416762"/>
    <w:rsid w:val="004168BE"/>
    <w:rsid w:val="00416946"/>
    <w:rsid w:val="00416982"/>
    <w:rsid w:val="004169F4"/>
    <w:rsid w:val="00416BCB"/>
    <w:rsid w:val="00416E55"/>
    <w:rsid w:val="00416E8B"/>
    <w:rsid w:val="0041712E"/>
    <w:rsid w:val="0041734C"/>
    <w:rsid w:val="004200F2"/>
    <w:rsid w:val="00420768"/>
    <w:rsid w:val="00420BEF"/>
    <w:rsid w:val="0042118C"/>
    <w:rsid w:val="00421571"/>
    <w:rsid w:val="00422489"/>
    <w:rsid w:val="00422716"/>
    <w:rsid w:val="004227C5"/>
    <w:rsid w:val="004228B1"/>
    <w:rsid w:val="004229FC"/>
    <w:rsid w:val="00422FF4"/>
    <w:rsid w:val="00423186"/>
    <w:rsid w:val="004231B2"/>
    <w:rsid w:val="00423772"/>
    <w:rsid w:val="00423830"/>
    <w:rsid w:val="00423EBF"/>
    <w:rsid w:val="00424377"/>
    <w:rsid w:val="00424697"/>
    <w:rsid w:val="00424B2A"/>
    <w:rsid w:val="00424C79"/>
    <w:rsid w:val="00424DE6"/>
    <w:rsid w:val="00424F1B"/>
    <w:rsid w:val="004250C4"/>
    <w:rsid w:val="0042518A"/>
    <w:rsid w:val="0042530C"/>
    <w:rsid w:val="00425425"/>
    <w:rsid w:val="0042575F"/>
    <w:rsid w:val="00425892"/>
    <w:rsid w:val="00425A57"/>
    <w:rsid w:val="00425A6C"/>
    <w:rsid w:val="00425BDA"/>
    <w:rsid w:val="00425C1E"/>
    <w:rsid w:val="00426372"/>
    <w:rsid w:val="004268EC"/>
    <w:rsid w:val="00426C8E"/>
    <w:rsid w:val="0042737B"/>
    <w:rsid w:val="0042740D"/>
    <w:rsid w:val="004274A7"/>
    <w:rsid w:val="004276A0"/>
    <w:rsid w:val="004277CD"/>
    <w:rsid w:val="00427A13"/>
    <w:rsid w:val="00427A72"/>
    <w:rsid w:val="00427AC1"/>
    <w:rsid w:val="0043048D"/>
    <w:rsid w:val="00430604"/>
    <w:rsid w:val="00431074"/>
    <w:rsid w:val="00431618"/>
    <w:rsid w:val="004318B5"/>
    <w:rsid w:val="004319EB"/>
    <w:rsid w:val="00431B5A"/>
    <w:rsid w:val="00431C10"/>
    <w:rsid w:val="00432A3E"/>
    <w:rsid w:val="00432B05"/>
    <w:rsid w:val="00432C48"/>
    <w:rsid w:val="00432C9F"/>
    <w:rsid w:val="00432CF6"/>
    <w:rsid w:val="00432F06"/>
    <w:rsid w:val="0043338A"/>
    <w:rsid w:val="00433413"/>
    <w:rsid w:val="00433498"/>
    <w:rsid w:val="004338B0"/>
    <w:rsid w:val="00433A16"/>
    <w:rsid w:val="00433AA3"/>
    <w:rsid w:val="00433B30"/>
    <w:rsid w:val="00433B3A"/>
    <w:rsid w:val="00433B70"/>
    <w:rsid w:val="00433E17"/>
    <w:rsid w:val="004342C3"/>
    <w:rsid w:val="00435006"/>
    <w:rsid w:val="0043503C"/>
    <w:rsid w:val="00435079"/>
    <w:rsid w:val="004351E3"/>
    <w:rsid w:val="00435FB5"/>
    <w:rsid w:val="00436009"/>
    <w:rsid w:val="00436CC6"/>
    <w:rsid w:val="00436F17"/>
    <w:rsid w:val="004370E6"/>
    <w:rsid w:val="00437F43"/>
    <w:rsid w:val="00440030"/>
    <w:rsid w:val="004401DB"/>
    <w:rsid w:val="00440438"/>
    <w:rsid w:val="00440461"/>
    <w:rsid w:val="004408AC"/>
    <w:rsid w:val="00440DF7"/>
    <w:rsid w:val="00440E13"/>
    <w:rsid w:val="0044144B"/>
    <w:rsid w:val="00441AFE"/>
    <w:rsid w:val="004421A9"/>
    <w:rsid w:val="00442399"/>
    <w:rsid w:val="004423C0"/>
    <w:rsid w:val="004428C7"/>
    <w:rsid w:val="00442AE5"/>
    <w:rsid w:val="00442CEB"/>
    <w:rsid w:val="00442E18"/>
    <w:rsid w:val="00443DA1"/>
    <w:rsid w:val="00443E74"/>
    <w:rsid w:val="004448F3"/>
    <w:rsid w:val="00444B84"/>
    <w:rsid w:val="00445033"/>
    <w:rsid w:val="00445077"/>
    <w:rsid w:val="004451A2"/>
    <w:rsid w:val="00445265"/>
    <w:rsid w:val="0044558C"/>
    <w:rsid w:val="00445933"/>
    <w:rsid w:val="004461DE"/>
    <w:rsid w:val="00446437"/>
    <w:rsid w:val="00446BE9"/>
    <w:rsid w:val="00446E3F"/>
    <w:rsid w:val="004470A3"/>
    <w:rsid w:val="004474A0"/>
    <w:rsid w:val="00447772"/>
    <w:rsid w:val="00447919"/>
    <w:rsid w:val="00447B6D"/>
    <w:rsid w:val="00447E9D"/>
    <w:rsid w:val="00447F03"/>
    <w:rsid w:val="00447FFA"/>
    <w:rsid w:val="00450185"/>
    <w:rsid w:val="004502F6"/>
    <w:rsid w:val="00450C15"/>
    <w:rsid w:val="00450D1E"/>
    <w:rsid w:val="00450D6D"/>
    <w:rsid w:val="00450DD0"/>
    <w:rsid w:val="00450FBD"/>
    <w:rsid w:val="004510EF"/>
    <w:rsid w:val="004511F6"/>
    <w:rsid w:val="00451551"/>
    <w:rsid w:val="00451591"/>
    <w:rsid w:val="0045203D"/>
    <w:rsid w:val="0045219B"/>
    <w:rsid w:val="004526DE"/>
    <w:rsid w:val="00452741"/>
    <w:rsid w:val="00452873"/>
    <w:rsid w:val="004528D8"/>
    <w:rsid w:val="004529E1"/>
    <w:rsid w:val="00452CA9"/>
    <w:rsid w:val="00452D9A"/>
    <w:rsid w:val="00453C41"/>
    <w:rsid w:val="0045414B"/>
    <w:rsid w:val="00454339"/>
    <w:rsid w:val="0045464B"/>
    <w:rsid w:val="00454A67"/>
    <w:rsid w:val="00454C89"/>
    <w:rsid w:val="00454D34"/>
    <w:rsid w:val="00454E01"/>
    <w:rsid w:val="00454F8B"/>
    <w:rsid w:val="004554A9"/>
    <w:rsid w:val="0045575B"/>
    <w:rsid w:val="00455866"/>
    <w:rsid w:val="004559CE"/>
    <w:rsid w:val="00455A94"/>
    <w:rsid w:val="00455B7F"/>
    <w:rsid w:val="00455BCE"/>
    <w:rsid w:val="004560AD"/>
    <w:rsid w:val="0045641C"/>
    <w:rsid w:val="004568DA"/>
    <w:rsid w:val="00456A7D"/>
    <w:rsid w:val="00456B58"/>
    <w:rsid w:val="00456F51"/>
    <w:rsid w:val="004577CA"/>
    <w:rsid w:val="00457A07"/>
    <w:rsid w:val="00457B09"/>
    <w:rsid w:val="004600B2"/>
    <w:rsid w:val="0046054A"/>
    <w:rsid w:val="004606C6"/>
    <w:rsid w:val="0046091F"/>
    <w:rsid w:val="00460929"/>
    <w:rsid w:val="00460E1A"/>
    <w:rsid w:val="00460F0E"/>
    <w:rsid w:val="00460F27"/>
    <w:rsid w:val="0046111A"/>
    <w:rsid w:val="00461837"/>
    <w:rsid w:val="00461B9E"/>
    <w:rsid w:val="00461F26"/>
    <w:rsid w:val="00462122"/>
    <w:rsid w:val="00462A8B"/>
    <w:rsid w:val="00462CF1"/>
    <w:rsid w:val="00462EB2"/>
    <w:rsid w:val="00462F61"/>
    <w:rsid w:val="00463539"/>
    <w:rsid w:val="00463966"/>
    <w:rsid w:val="00463DF8"/>
    <w:rsid w:val="00463FF0"/>
    <w:rsid w:val="004640E3"/>
    <w:rsid w:val="00464883"/>
    <w:rsid w:val="00464D15"/>
    <w:rsid w:val="00464D63"/>
    <w:rsid w:val="00464EDF"/>
    <w:rsid w:val="0046510A"/>
    <w:rsid w:val="00465959"/>
    <w:rsid w:val="00465D2C"/>
    <w:rsid w:val="0046670E"/>
    <w:rsid w:val="00466860"/>
    <w:rsid w:val="00466C75"/>
    <w:rsid w:val="00466CD4"/>
    <w:rsid w:val="00466EBA"/>
    <w:rsid w:val="00466F57"/>
    <w:rsid w:val="004673BC"/>
    <w:rsid w:val="00467664"/>
    <w:rsid w:val="00467A92"/>
    <w:rsid w:val="00467AA2"/>
    <w:rsid w:val="004702AB"/>
    <w:rsid w:val="004705A0"/>
    <w:rsid w:val="00470D56"/>
    <w:rsid w:val="0047106C"/>
    <w:rsid w:val="004713FB"/>
    <w:rsid w:val="004719AC"/>
    <w:rsid w:val="00471F48"/>
    <w:rsid w:val="0047250A"/>
    <w:rsid w:val="0047289B"/>
    <w:rsid w:val="00472A38"/>
    <w:rsid w:val="00472F53"/>
    <w:rsid w:val="0047309E"/>
    <w:rsid w:val="004730AB"/>
    <w:rsid w:val="0047320D"/>
    <w:rsid w:val="004733C5"/>
    <w:rsid w:val="00473512"/>
    <w:rsid w:val="00473529"/>
    <w:rsid w:val="00473ED1"/>
    <w:rsid w:val="00473F2A"/>
    <w:rsid w:val="004742F5"/>
    <w:rsid w:val="00474639"/>
    <w:rsid w:val="00474878"/>
    <w:rsid w:val="004749A9"/>
    <w:rsid w:val="00474AAE"/>
    <w:rsid w:val="00474B9D"/>
    <w:rsid w:val="00474BA4"/>
    <w:rsid w:val="00474D25"/>
    <w:rsid w:val="00475085"/>
    <w:rsid w:val="004752A8"/>
    <w:rsid w:val="00475359"/>
    <w:rsid w:val="00475668"/>
    <w:rsid w:val="004757A7"/>
    <w:rsid w:val="00475953"/>
    <w:rsid w:val="004759AC"/>
    <w:rsid w:val="00475BEA"/>
    <w:rsid w:val="00475C79"/>
    <w:rsid w:val="00475CD0"/>
    <w:rsid w:val="00475F93"/>
    <w:rsid w:val="00476270"/>
    <w:rsid w:val="004765A3"/>
    <w:rsid w:val="004766B1"/>
    <w:rsid w:val="00476AF4"/>
    <w:rsid w:val="00476B21"/>
    <w:rsid w:val="00476CF3"/>
    <w:rsid w:val="00476CF6"/>
    <w:rsid w:val="004772B7"/>
    <w:rsid w:val="004773C1"/>
    <w:rsid w:val="004777A5"/>
    <w:rsid w:val="00477AA8"/>
    <w:rsid w:val="00477BE8"/>
    <w:rsid w:val="004801D6"/>
    <w:rsid w:val="0048036B"/>
    <w:rsid w:val="00480573"/>
    <w:rsid w:val="0048066A"/>
    <w:rsid w:val="004809E2"/>
    <w:rsid w:val="00480A09"/>
    <w:rsid w:val="00480B71"/>
    <w:rsid w:val="00480FD1"/>
    <w:rsid w:val="0048136C"/>
    <w:rsid w:val="0048158B"/>
    <w:rsid w:val="00481979"/>
    <w:rsid w:val="00481A2D"/>
    <w:rsid w:val="0048217F"/>
    <w:rsid w:val="0048249A"/>
    <w:rsid w:val="004826BE"/>
    <w:rsid w:val="00482C61"/>
    <w:rsid w:val="00482D41"/>
    <w:rsid w:val="0048309C"/>
    <w:rsid w:val="00483475"/>
    <w:rsid w:val="004836CA"/>
    <w:rsid w:val="00483834"/>
    <w:rsid w:val="00483F54"/>
    <w:rsid w:val="0048414F"/>
    <w:rsid w:val="0048434C"/>
    <w:rsid w:val="004848E9"/>
    <w:rsid w:val="00485390"/>
    <w:rsid w:val="0048547F"/>
    <w:rsid w:val="00485792"/>
    <w:rsid w:val="00485854"/>
    <w:rsid w:val="00485D17"/>
    <w:rsid w:val="00485F37"/>
    <w:rsid w:val="004862BF"/>
    <w:rsid w:val="004865BC"/>
    <w:rsid w:val="004865DF"/>
    <w:rsid w:val="004866A4"/>
    <w:rsid w:val="00486AE9"/>
    <w:rsid w:val="00486DD1"/>
    <w:rsid w:val="004870EC"/>
    <w:rsid w:val="00487104"/>
    <w:rsid w:val="00487655"/>
    <w:rsid w:val="00487777"/>
    <w:rsid w:val="004878FA"/>
    <w:rsid w:val="00487B36"/>
    <w:rsid w:val="00487B76"/>
    <w:rsid w:val="00487C2C"/>
    <w:rsid w:val="00487CF7"/>
    <w:rsid w:val="00487D3C"/>
    <w:rsid w:val="00487D48"/>
    <w:rsid w:val="00490088"/>
    <w:rsid w:val="00490120"/>
    <w:rsid w:val="004902A4"/>
    <w:rsid w:val="0049079A"/>
    <w:rsid w:val="004907A8"/>
    <w:rsid w:val="00490832"/>
    <w:rsid w:val="00490D88"/>
    <w:rsid w:val="0049203A"/>
    <w:rsid w:val="00492404"/>
    <w:rsid w:val="00492853"/>
    <w:rsid w:val="00492FCB"/>
    <w:rsid w:val="004933AE"/>
    <w:rsid w:val="0049346B"/>
    <w:rsid w:val="004934C4"/>
    <w:rsid w:val="0049354D"/>
    <w:rsid w:val="00493685"/>
    <w:rsid w:val="00493DE3"/>
    <w:rsid w:val="00493DE5"/>
    <w:rsid w:val="00493DEE"/>
    <w:rsid w:val="00494398"/>
    <w:rsid w:val="00494AFE"/>
    <w:rsid w:val="004950EC"/>
    <w:rsid w:val="004958A9"/>
    <w:rsid w:val="00496301"/>
    <w:rsid w:val="004963A0"/>
    <w:rsid w:val="00496938"/>
    <w:rsid w:val="00496991"/>
    <w:rsid w:val="004969BA"/>
    <w:rsid w:val="00496A2D"/>
    <w:rsid w:val="00496C1A"/>
    <w:rsid w:val="00496CCB"/>
    <w:rsid w:val="00497193"/>
    <w:rsid w:val="0049719F"/>
    <w:rsid w:val="004973E2"/>
    <w:rsid w:val="0049740E"/>
    <w:rsid w:val="00497503"/>
    <w:rsid w:val="004975E0"/>
    <w:rsid w:val="00497AF7"/>
    <w:rsid w:val="00497DEB"/>
    <w:rsid w:val="00497F26"/>
    <w:rsid w:val="004A046C"/>
    <w:rsid w:val="004A0510"/>
    <w:rsid w:val="004A05AF"/>
    <w:rsid w:val="004A0684"/>
    <w:rsid w:val="004A08B2"/>
    <w:rsid w:val="004A0E92"/>
    <w:rsid w:val="004A0F11"/>
    <w:rsid w:val="004A147B"/>
    <w:rsid w:val="004A1B5A"/>
    <w:rsid w:val="004A1E4F"/>
    <w:rsid w:val="004A2489"/>
    <w:rsid w:val="004A2691"/>
    <w:rsid w:val="004A275B"/>
    <w:rsid w:val="004A296F"/>
    <w:rsid w:val="004A338D"/>
    <w:rsid w:val="004A342B"/>
    <w:rsid w:val="004A369B"/>
    <w:rsid w:val="004A375B"/>
    <w:rsid w:val="004A38C8"/>
    <w:rsid w:val="004A3EAA"/>
    <w:rsid w:val="004A40C4"/>
    <w:rsid w:val="004A41E7"/>
    <w:rsid w:val="004A47B5"/>
    <w:rsid w:val="004A484B"/>
    <w:rsid w:val="004A4BC8"/>
    <w:rsid w:val="004A5824"/>
    <w:rsid w:val="004A5964"/>
    <w:rsid w:val="004A59B4"/>
    <w:rsid w:val="004A5DA2"/>
    <w:rsid w:val="004A5EB0"/>
    <w:rsid w:val="004A61E2"/>
    <w:rsid w:val="004A648A"/>
    <w:rsid w:val="004A684E"/>
    <w:rsid w:val="004A6869"/>
    <w:rsid w:val="004A69FD"/>
    <w:rsid w:val="004A6EF0"/>
    <w:rsid w:val="004A6F55"/>
    <w:rsid w:val="004A7158"/>
    <w:rsid w:val="004A7983"/>
    <w:rsid w:val="004A79AC"/>
    <w:rsid w:val="004A7C5E"/>
    <w:rsid w:val="004A7D97"/>
    <w:rsid w:val="004A7F07"/>
    <w:rsid w:val="004B01CB"/>
    <w:rsid w:val="004B0222"/>
    <w:rsid w:val="004B02D1"/>
    <w:rsid w:val="004B0E18"/>
    <w:rsid w:val="004B173E"/>
    <w:rsid w:val="004B1866"/>
    <w:rsid w:val="004B1A7D"/>
    <w:rsid w:val="004B2981"/>
    <w:rsid w:val="004B2C45"/>
    <w:rsid w:val="004B2D54"/>
    <w:rsid w:val="004B32D4"/>
    <w:rsid w:val="004B35D0"/>
    <w:rsid w:val="004B36D3"/>
    <w:rsid w:val="004B384C"/>
    <w:rsid w:val="004B3BBC"/>
    <w:rsid w:val="004B430F"/>
    <w:rsid w:val="004B456C"/>
    <w:rsid w:val="004B45FA"/>
    <w:rsid w:val="004B4660"/>
    <w:rsid w:val="004B4744"/>
    <w:rsid w:val="004B48E9"/>
    <w:rsid w:val="004B4C60"/>
    <w:rsid w:val="004B5133"/>
    <w:rsid w:val="004B515E"/>
    <w:rsid w:val="004B5265"/>
    <w:rsid w:val="004B5294"/>
    <w:rsid w:val="004B52D7"/>
    <w:rsid w:val="004B5469"/>
    <w:rsid w:val="004B59DE"/>
    <w:rsid w:val="004B5A18"/>
    <w:rsid w:val="004B5D1A"/>
    <w:rsid w:val="004B61A0"/>
    <w:rsid w:val="004B6BD6"/>
    <w:rsid w:val="004B6ECE"/>
    <w:rsid w:val="004B6FEF"/>
    <w:rsid w:val="004B7060"/>
    <w:rsid w:val="004B724B"/>
    <w:rsid w:val="004B7360"/>
    <w:rsid w:val="004B762D"/>
    <w:rsid w:val="004C00E3"/>
    <w:rsid w:val="004C06DC"/>
    <w:rsid w:val="004C0BA7"/>
    <w:rsid w:val="004C0C0C"/>
    <w:rsid w:val="004C0E9F"/>
    <w:rsid w:val="004C0F36"/>
    <w:rsid w:val="004C12B2"/>
    <w:rsid w:val="004C136F"/>
    <w:rsid w:val="004C1F58"/>
    <w:rsid w:val="004C1FF3"/>
    <w:rsid w:val="004C2241"/>
    <w:rsid w:val="004C257F"/>
    <w:rsid w:val="004C28B5"/>
    <w:rsid w:val="004C31C5"/>
    <w:rsid w:val="004C3353"/>
    <w:rsid w:val="004C4142"/>
    <w:rsid w:val="004C41B6"/>
    <w:rsid w:val="004C43E2"/>
    <w:rsid w:val="004C493D"/>
    <w:rsid w:val="004C4B0B"/>
    <w:rsid w:val="004C54DB"/>
    <w:rsid w:val="004C5707"/>
    <w:rsid w:val="004C5B94"/>
    <w:rsid w:val="004C65F3"/>
    <w:rsid w:val="004C6761"/>
    <w:rsid w:val="004C67CA"/>
    <w:rsid w:val="004C6A03"/>
    <w:rsid w:val="004C6E29"/>
    <w:rsid w:val="004C6E30"/>
    <w:rsid w:val="004C6E86"/>
    <w:rsid w:val="004C7092"/>
    <w:rsid w:val="004C7337"/>
    <w:rsid w:val="004C7918"/>
    <w:rsid w:val="004D01B2"/>
    <w:rsid w:val="004D0BDB"/>
    <w:rsid w:val="004D0C46"/>
    <w:rsid w:val="004D11D8"/>
    <w:rsid w:val="004D161F"/>
    <w:rsid w:val="004D195B"/>
    <w:rsid w:val="004D201C"/>
    <w:rsid w:val="004D21B3"/>
    <w:rsid w:val="004D21FD"/>
    <w:rsid w:val="004D2997"/>
    <w:rsid w:val="004D3335"/>
    <w:rsid w:val="004D3669"/>
    <w:rsid w:val="004D37EA"/>
    <w:rsid w:val="004D3876"/>
    <w:rsid w:val="004D39D3"/>
    <w:rsid w:val="004D3CE9"/>
    <w:rsid w:val="004D4313"/>
    <w:rsid w:val="004D451D"/>
    <w:rsid w:val="004D4914"/>
    <w:rsid w:val="004D4B7D"/>
    <w:rsid w:val="004D4D78"/>
    <w:rsid w:val="004D5050"/>
    <w:rsid w:val="004D52E6"/>
    <w:rsid w:val="004D54C1"/>
    <w:rsid w:val="004D5D20"/>
    <w:rsid w:val="004D5DC0"/>
    <w:rsid w:val="004D616D"/>
    <w:rsid w:val="004D620A"/>
    <w:rsid w:val="004D6E37"/>
    <w:rsid w:val="004D78BC"/>
    <w:rsid w:val="004D7FA3"/>
    <w:rsid w:val="004E009F"/>
    <w:rsid w:val="004E00EA"/>
    <w:rsid w:val="004E01D0"/>
    <w:rsid w:val="004E094D"/>
    <w:rsid w:val="004E09FF"/>
    <w:rsid w:val="004E0A63"/>
    <w:rsid w:val="004E0B7B"/>
    <w:rsid w:val="004E132C"/>
    <w:rsid w:val="004E15D7"/>
    <w:rsid w:val="004E1968"/>
    <w:rsid w:val="004E1A47"/>
    <w:rsid w:val="004E1C9C"/>
    <w:rsid w:val="004E1ED3"/>
    <w:rsid w:val="004E26C1"/>
    <w:rsid w:val="004E2B53"/>
    <w:rsid w:val="004E2E66"/>
    <w:rsid w:val="004E3084"/>
    <w:rsid w:val="004E30F3"/>
    <w:rsid w:val="004E3182"/>
    <w:rsid w:val="004E433E"/>
    <w:rsid w:val="004E465B"/>
    <w:rsid w:val="004E4BAC"/>
    <w:rsid w:val="004E4D2E"/>
    <w:rsid w:val="004E514A"/>
    <w:rsid w:val="004E5387"/>
    <w:rsid w:val="004E567A"/>
    <w:rsid w:val="004E5724"/>
    <w:rsid w:val="004E57DB"/>
    <w:rsid w:val="004E5BCC"/>
    <w:rsid w:val="004E6248"/>
    <w:rsid w:val="004E672F"/>
    <w:rsid w:val="004E697E"/>
    <w:rsid w:val="004E69AF"/>
    <w:rsid w:val="004E7272"/>
    <w:rsid w:val="004E7759"/>
    <w:rsid w:val="004E796C"/>
    <w:rsid w:val="004E7A65"/>
    <w:rsid w:val="004E7CE8"/>
    <w:rsid w:val="004F0744"/>
    <w:rsid w:val="004F08DB"/>
    <w:rsid w:val="004F090C"/>
    <w:rsid w:val="004F0ADB"/>
    <w:rsid w:val="004F0B1D"/>
    <w:rsid w:val="004F0C58"/>
    <w:rsid w:val="004F0EED"/>
    <w:rsid w:val="004F130E"/>
    <w:rsid w:val="004F14AE"/>
    <w:rsid w:val="004F1E40"/>
    <w:rsid w:val="004F252D"/>
    <w:rsid w:val="004F268C"/>
    <w:rsid w:val="004F29AB"/>
    <w:rsid w:val="004F2B69"/>
    <w:rsid w:val="004F303F"/>
    <w:rsid w:val="004F3092"/>
    <w:rsid w:val="004F316E"/>
    <w:rsid w:val="004F39A5"/>
    <w:rsid w:val="004F3BBE"/>
    <w:rsid w:val="004F3F7E"/>
    <w:rsid w:val="004F488B"/>
    <w:rsid w:val="004F48FF"/>
    <w:rsid w:val="004F4B92"/>
    <w:rsid w:val="004F4DB1"/>
    <w:rsid w:val="004F51CE"/>
    <w:rsid w:val="004F532F"/>
    <w:rsid w:val="004F5559"/>
    <w:rsid w:val="004F583F"/>
    <w:rsid w:val="004F5935"/>
    <w:rsid w:val="004F5A9F"/>
    <w:rsid w:val="004F5B0B"/>
    <w:rsid w:val="004F5B57"/>
    <w:rsid w:val="004F6126"/>
    <w:rsid w:val="004F665F"/>
    <w:rsid w:val="004F68B7"/>
    <w:rsid w:val="004F6B1E"/>
    <w:rsid w:val="004F6C51"/>
    <w:rsid w:val="004F6C87"/>
    <w:rsid w:val="004F6F7C"/>
    <w:rsid w:val="004F716D"/>
    <w:rsid w:val="004F727D"/>
    <w:rsid w:val="004F7588"/>
    <w:rsid w:val="004F7C88"/>
    <w:rsid w:val="004F7EED"/>
    <w:rsid w:val="0050018A"/>
    <w:rsid w:val="005003CC"/>
    <w:rsid w:val="00500474"/>
    <w:rsid w:val="00500E41"/>
    <w:rsid w:val="00500EFF"/>
    <w:rsid w:val="00500F42"/>
    <w:rsid w:val="00501117"/>
    <w:rsid w:val="005011B2"/>
    <w:rsid w:val="005016E4"/>
    <w:rsid w:val="005018A8"/>
    <w:rsid w:val="0050199D"/>
    <w:rsid w:val="00501C90"/>
    <w:rsid w:val="00501D4B"/>
    <w:rsid w:val="005020A8"/>
    <w:rsid w:val="00502192"/>
    <w:rsid w:val="0050224B"/>
    <w:rsid w:val="00502583"/>
    <w:rsid w:val="00502791"/>
    <w:rsid w:val="005027F4"/>
    <w:rsid w:val="00502940"/>
    <w:rsid w:val="00502E86"/>
    <w:rsid w:val="00503136"/>
    <w:rsid w:val="00503B94"/>
    <w:rsid w:val="0050452D"/>
    <w:rsid w:val="00504AE2"/>
    <w:rsid w:val="005050B9"/>
    <w:rsid w:val="0050544C"/>
    <w:rsid w:val="00505507"/>
    <w:rsid w:val="0050590D"/>
    <w:rsid w:val="00505E9A"/>
    <w:rsid w:val="00506B8E"/>
    <w:rsid w:val="00506C06"/>
    <w:rsid w:val="00506D4B"/>
    <w:rsid w:val="00506E2E"/>
    <w:rsid w:val="005070E7"/>
    <w:rsid w:val="00507225"/>
    <w:rsid w:val="005079AD"/>
    <w:rsid w:val="00507A6C"/>
    <w:rsid w:val="0051002E"/>
    <w:rsid w:val="00510AD6"/>
    <w:rsid w:val="00511094"/>
    <w:rsid w:val="00511592"/>
    <w:rsid w:val="005115AE"/>
    <w:rsid w:val="00511D8F"/>
    <w:rsid w:val="00511EB0"/>
    <w:rsid w:val="00511FD7"/>
    <w:rsid w:val="005126E1"/>
    <w:rsid w:val="005138C9"/>
    <w:rsid w:val="005139AA"/>
    <w:rsid w:val="005139E2"/>
    <w:rsid w:val="00513E06"/>
    <w:rsid w:val="00514138"/>
    <w:rsid w:val="00514636"/>
    <w:rsid w:val="00514965"/>
    <w:rsid w:val="00514DD0"/>
    <w:rsid w:val="00514DFD"/>
    <w:rsid w:val="00515144"/>
    <w:rsid w:val="00515283"/>
    <w:rsid w:val="00515565"/>
    <w:rsid w:val="00515D63"/>
    <w:rsid w:val="00515DB7"/>
    <w:rsid w:val="00515F5B"/>
    <w:rsid w:val="00515FD4"/>
    <w:rsid w:val="0051607E"/>
    <w:rsid w:val="005161DB"/>
    <w:rsid w:val="00516785"/>
    <w:rsid w:val="005168F0"/>
    <w:rsid w:val="005169BD"/>
    <w:rsid w:val="0051717F"/>
    <w:rsid w:val="00517AB6"/>
    <w:rsid w:val="00517FCE"/>
    <w:rsid w:val="00520650"/>
    <w:rsid w:val="00520C1F"/>
    <w:rsid w:val="00520C91"/>
    <w:rsid w:val="00520FEE"/>
    <w:rsid w:val="00521A79"/>
    <w:rsid w:val="00521CE5"/>
    <w:rsid w:val="0052282D"/>
    <w:rsid w:val="00522C08"/>
    <w:rsid w:val="00522E56"/>
    <w:rsid w:val="00523229"/>
    <w:rsid w:val="0052323D"/>
    <w:rsid w:val="0052329D"/>
    <w:rsid w:val="005234FC"/>
    <w:rsid w:val="0052368A"/>
    <w:rsid w:val="00523D34"/>
    <w:rsid w:val="00523F2A"/>
    <w:rsid w:val="00523F56"/>
    <w:rsid w:val="00523FC3"/>
    <w:rsid w:val="005240EE"/>
    <w:rsid w:val="0052419D"/>
    <w:rsid w:val="00524252"/>
    <w:rsid w:val="00524538"/>
    <w:rsid w:val="00524D68"/>
    <w:rsid w:val="005255CA"/>
    <w:rsid w:val="00525CE2"/>
    <w:rsid w:val="0052639C"/>
    <w:rsid w:val="005265A4"/>
    <w:rsid w:val="00526D0C"/>
    <w:rsid w:val="00527469"/>
    <w:rsid w:val="005276BE"/>
    <w:rsid w:val="00527B10"/>
    <w:rsid w:val="0053002A"/>
    <w:rsid w:val="005301CC"/>
    <w:rsid w:val="005301F8"/>
    <w:rsid w:val="005305F4"/>
    <w:rsid w:val="00530653"/>
    <w:rsid w:val="00530845"/>
    <w:rsid w:val="005309B2"/>
    <w:rsid w:val="00530A1C"/>
    <w:rsid w:val="00530A8F"/>
    <w:rsid w:val="00530DAA"/>
    <w:rsid w:val="00530F1F"/>
    <w:rsid w:val="0053101C"/>
    <w:rsid w:val="005312FC"/>
    <w:rsid w:val="00532774"/>
    <w:rsid w:val="00532934"/>
    <w:rsid w:val="00532CD2"/>
    <w:rsid w:val="0053311F"/>
    <w:rsid w:val="005332FA"/>
    <w:rsid w:val="005334D3"/>
    <w:rsid w:val="005339E0"/>
    <w:rsid w:val="00533C18"/>
    <w:rsid w:val="00533DC1"/>
    <w:rsid w:val="00534865"/>
    <w:rsid w:val="00534E4A"/>
    <w:rsid w:val="00535125"/>
    <w:rsid w:val="00535343"/>
    <w:rsid w:val="0053569E"/>
    <w:rsid w:val="005356C0"/>
    <w:rsid w:val="0053588C"/>
    <w:rsid w:val="00535DA2"/>
    <w:rsid w:val="0053603D"/>
    <w:rsid w:val="00536257"/>
    <w:rsid w:val="005362DA"/>
    <w:rsid w:val="005364F2"/>
    <w:rsid w:val="0053742A"/>
    <w:rsid w:val="0053766F"/>
    <w:rsid w:val="00537842"/>
    <w:rsid w:val="005378F3"/>
    <w:rsid w:val="00537C85"/>
    <w:rsid w:val="00537EF3"/>
    <w:rsid w:val="005408F8"/>
    <w:rsid w:val="005409AB"/>
    <w:rsid w:val="00540C84"/>
    <w:rsid w:val="005411E4"/>
    <w:rsid w:val="005415C6"/>
    <w:rsid w:val="0054176B"/>
    <w:rsid w:val="00541D09"/>
    <w:rsid w:val="00541D29"/>
    <w:rsid w:val="005424D9"/>
    <w:rsid w:val="0054293F"/>
    <w:rsid w:val="00542D20"/>
    <w:rsid w:val="00542F1B"/>
    <w:rsid w:val="00543842"/>
    <w:rsid w:val="00543C80"/>
    <w:rsid w:val="00544617"/>
    <w:rsid w:val="00544EDA"/>
    <w:rsid w:val="005455CB"/>
    <w:rsid w:val="00545A54"/>
    <w:rsid w:val="00545CBC"/>
    <w:rsid w:val="00545F23"/>
    <w:rsid w:val="0054611D"/>
    <w:rsid w:val="00546414"/>
    <w:rsid w:val="00546551"/>
    <w:rsid w:val="00546640"/>
    <w:rsid w:val="0054695E"/>
    <w:rsid w:val="005469BE"/>
    <w:rsid w:val="00546B18"/>
    <w:rsid w:val="00546BEC"/>
    <w:rsid w:val="005476C8"/>
    <w:rsid w:val="00547784"/>
    <w:rsid w:val="0054790D"/>
    <w:rsid w:val="00547D83"/>
    <w:rsid w:val="005507C1"/>
    <w:rsid w:val="00550851"/>
    <w:rsid w:val="00550C72"/>
    <w:rsid w:val="005511A3"/>
    <w:rsid w:val="00551ABF"/>
    <w:rsid w:val="00551C01"/>
    <w:rsid w:val="00551E69"/>
    <w:rsid w:val="0055216E"/>
    <w:rsid w:val="005521D2"/>
    <w:rsid w:val="005521D8"/>
    <w:rsid w:val="005523E8"/>
    <w:rsid w:val="0055254A"/>
    <w:rsid w:val="00552559"/>
    <w:rsid w:val="00552BC5"/>
    <w:rsid w:val="00552C0B"/>
    <w:rsid w:val="00552F10"/>
    <w:rsid w:val="00552F93"/>
    <w:rsid w:val="00552FE1"/>
    <w:rsid w:val="005530AF"/>
    <w:rsid w:val="005536EE"/>
    <w:rsid w:val="00553C2E"/>
    <w:rsid w:val="00553F12"/>
    <w:rsid w:val="00554732"/>
    <w:rsid w:val="00554CAB"/>
    <w:rsid w:val="00554D99"/>
    <w:rsid w:val="005556B8"/>
    <w:rsid w:val="00555CC4"/>
    <w:rsid w:val="00555D4A"/>
    <w:rsid w:val="00555DB1"/>
    <w:rsid w:val="00555DB2"/>
    <w:rsid w:val="0055628B"/>
    <w:rsid w:val="00556783"/>
    <w:rsid w:val="00556974"/>
    <w:rsid w:val="00556BA1"/>
    <w:rsid w:val="00556C67"/>
    <w:rsid w:val="00557308"/>
    <w:rsid w:val="00557318"/>
    <w:rsid w:val="0055733F"/>
    <w:rsid w:val="00557960"/>
    <w:rsid w:val="00557D8B"/>
    <w:rsid w:val="0056004C"/>
    <w:rsid w:val="00560066"/>
    <w:rsid w:val="00560145"/>
    <w:rsid w:val="00560F4A"/>
    <w:rsid w:val="0056121C"/>
    <w:rsid w:val="005612AF"/>
    <w:rsid w:val="005615B7"/>
    <w:rsid w:val="005615E6"/>
    <w:rsid w:val="005619AC"/>
    <w:rsid w:val="00561AAD"/>
    <w:rsid w:val="00561CC7"/>
    <w:rsid w:val="00561DF1"/>
    <w:rsid w:val="005629CF"/>
    <w:rsid w:val="00562F17"/>
    <w:rsid w:val="00563435"/>
    <w:rsid w:val="00563467"/>
    <w:rsid w:val="00563631"/>
    <w:rsid w:val="005637B5"/>
    <w:rsid w:val="0056383E"/>
    <w:rsid w:val="00563F21"/>
    <w:rsid w:val="00563FCF"/>
    <w:rsid w:val="005641AD"/>
    <w:rsid w:val="005641E7"/>
    <w:rsid w:val="005644ED"/>
    <w:rsid w:val="0056468D"/>
    <w:rsid w:val="00564D63"/>
    <w:rsid w:val="00564E99"/>
    <w:rsid w:val="00565124"/>
    <w:rsid w:val="005653B9"/>
    <w:rsid w:val="005653DE"/>
    <w:rsid w:val="0056582C"/>
    <w:rsid w:val="00565856"/>
    <w:rsid w:val="00565B41"/>
    <w:rsid w:val="00565BB0"/>
    <w:rsid w:val="00565E62"/>
    <w:rsid w:val="00565E7A"/>
    <w:rsid w:val="00566E41"/>
    <w:rsid w:val="00566E8E"/>
    <w:rsid w:val="0056717B"/>
    <w:rsid w:val="00567650"/>
    <w:rsid w:val="0056795A"/>
    <w:rsid w:val="005679CC"/>
    <w:rsid w:val="00567B40"/>
    <w:rsid w:val="00570571"/>
    <w:rsid w:val="005707D4"/>
    <w:rsid w:val="005708D6"/>
    <w:rsid w:val="00571776"/>
    <w:rsid w:val="0057196E"/>
    <w:rsid w:val="0057227E"/>
    <w:rsid w:val="0057274C"/>
    <w:rsid w:val="00572780"/>
    <w:rsid w:val="00572A48"/>
    <w:rsid w:val="00572E28"/>
    <w:rsid w:val="00572EE6"/>
    <w:rsid w:val="00572FAD"/>
    <w:rsid w:val="00573092"/>
    <w:rsid w:val="0057353E"/>
    <w:rsid w:val="00573BC9"/>
    <w:rsid w:val="005743DA"/>
    <w:rsid w:val="0057452B"/>
    <w:rsid w:val="0057460A"/>
    <w:rsid w:val="00574A7D"/>
    <w:rsid w:val="00574C25"/>
    <w:rsid w:val="00574E86"/>
    <w:rsid w:val="005750FC"/>
    <w:rsid w:val="005754FD"/>
    <w:rsid w:val="005756CC"/>
    <w:rsid w:val="00575D7C"/>
    <w:rsid w:val="00575EE1"/>
    <w:rsid w:val="00576571"/>
    <w:rsid w:val="00576753"/>
    <w:rsid w:val="005769FF"/>
    <w:rsid w:val="00576C4A"/>
    <w:rsid w:val="00576E44"/>
    <w:rsid w:val="00577E01"/>
    <w:rsid w:val="00580827"/>
    <w:rsid w:val="00580877"/>
    <w:rsid w:val="00580D06"/>
    <w:rsid w:val="00580E27"/>
    <w:rsid w:val="00581211"/>
    <w:rsid w:val="00581527"/>
    <w:rsid w:val="00581829"/>
    <w:rsid w:val="00581926"/>
    <w:rsid w:val="0058192C"/>
    <w:rsid w:val="00581FF8"/>
    <w:rsid w:val="005826E9"/>
    <w:rsid w:val="0058271C"/>
    <w:rsid w:val="00582742"/>
    <w:rsid w:val="00582C00"/>
    <w:rsid w:val="00582CF0"/>
    <w:rsid w:val="00583509"/>
    <w:rsid w:val="0058374F"/>
    <w:rsid w:val="005839AC"/>
    <w:rsid w:val="00583DCB"/>
    <w:rsid w:val="00584043"/>
    <w:rsid w:val="005842FB"/>
    <w:rsid w:val="0058482A"/>
    <w:rsid w:val="00584CCC"/>
    <w:rsid w:val="00585184"/>
    <w:rsid w:val="00585480"/>
    <w:rsid w:val="005854BD"/>
    <w:rsid w:val="00585733"/>
    <w:rsid w:val="00585A9E"/>
    <w:rsid w:val="00585BFB"/>
    <w:rsid w:val="00585F85"/>
    <w:rsid w:val="0058607E"/>
    <w:rsid w:val="00586130"/>
    <w:rsid w:val="00586882"/>
    <w:rsid w:val="005868DE"/>
    <w:rsid w:val="00586A96"/>
    <w:rsid w:val="00586D94"/>
    <w:rsid w:val="00586F77"/>
    <w:rsid w:val="005874E0"/>
    <w:rsid w:val="00587594"/>
    <w:rsid w:val="005875C1"/>
    <w:rsid w:val="005877AC"/>
    <w:rsid w:val="00587F53"/>
    <w:rsid w:val="005904F7"/>
    <w:rsid w:val="0059057D"/>
    <w:rsid w:val="00590840"/>
    <w:rsid w:val="005908AD"/>
    <w:rsid w:val="005908F9"/>
    <w:rsid w:val="00590938"/>
    <w:rsid w:val="005909CA"/>
    <w:rsid w:val="005909DC"/>
    <w:rsid w:val="00590D97"/>
    <w:rsid w:val="0059108E"/>
    <w:rsid w:val="00591181"/>
    <w:rsid w:val="00591863"/>
    <w:rsid w:val="0059186C"/>
    <w:rsid w:val="00591D93"/>
    <w:rsid w:val="0059218B"/>
    <w:rsid w:val="00592413"/>
    <w:rsid w:val="00592503"/>
    <w:rsid w:val="00592D58"/>
    <w:rsid w:val="00592EDD"/>
    <w:rsid w:val="005932B2"/>
    <w:rsid w:val="005933ED"/>
    <w:rsid w:val="00593622"/>
    <w:rsid w:val="00593990"/>
    <w:rsid w:val="00593D3C"/>
    <w:rsid w:val="00594053"/>
    <w:rsid w:val="005946C1"/>
    <w:rsid w:val="005950F1"/>
    <w:rsid w:val="00595938"/>
    <w:rsid w:val="00595A05"/>
    <w:rsid w:val="00595A59"/>
    <w:rsid w:val="005960C2"/>
    <w:rsid w:val="005965F5"/>
    <w:rsid w:val="005966B7"/>
    <w:rsid w:val="00596FBE"/>
    <w:rsid w:val="00597421"/>
    <w:rsid w:val="00597469"/>
    <w:rsid w:val="005978A4"/>
    <w:rsid w:val="0059795C"/>
    <w:rsid w:val="00597BD6"/>
    <w:rsid w:val="00597EC0"/>
    <w:rsid w:val="005A018B"/>
    <w:rsid w:val="005A01A0"/>
    <w:rsid w:val="005A029E"/>
    <w:rsid w:val="005A0469"/>
    <w:rsid w:val="005A0475"/>
    <w:rsid w:val="005A0586"/>
    <w:rsid w:val="005A095A"/>
    <w:rsid w:val="005A0FD4"/>
    <w:rsid w:val="005A13D3"/>
    <w:rsid w:val="005A19B5"/>
    <w:rsid w:val="005A19C5"/>
    <w:rsid w:val="005A1B24"/>
    <w:rsid w:val="005A1C4B"/>
    <w:rsid w:val="005A1C5E"/>
    <w:rsid w:val="005A204C"/>
    <w:rsid w:val="005A21C2"/>
    <w:rsid w:val="005A24AD"/>
    <w:rsid w:val="005A27C1"/>
    <w:rsid w:val="005A2903"/>
    <w:rsid w:val="005A2968"/>
    <w:rsid w:val="005A2C02"/>
    <w:rsid w:val="005A3046"/>
    <w:rsid w:val="005A326D"/>
    <w:rsid w:val="005A386D"/>
    <w:rsid w:val="005A38FE"/>
    <w:rsid w:val="005A39C1"/>
    <w:rsid w:val="005A44D7"/>
    <w:rsid w:val="005A4800"/>
    <w:rsid w:val="005A480B"/>
    <w:rsid w:val="005A52D1"/>
    <w:rsid w:val="005A59EC"/>
    <w:rsid w:val="005A5ACC"/>
    <w:rsid w:val="005A5DBF"/>
    <w:rsid w:val="005A60B5"/>
    <w:rsid w:val="005A68D4"/>
    <w:rsid w:val="005A6FE2"/>
    <w:rsid w:val="005A7280"/>
    <w:rsid w:val="005A73B3"/>
    <w:rsid w:val="005A780C"/>
    <w:rsid w:val="005A78FD"/>
    <w:rsid w:val="005A7AF5"/>
    <w:rsid w:val="005A7E6B"/>
    <w:rsid w:val="005B08D3"/>
    <w:rsid w:val="005B0B8E"/>
    <w:rsid w:val="005B0F77"/>
    <w:rsid w:val="005B175F"/>
    <w:rsid w:val="005B1A68"/>
    <w:rsid w:val="005B1D15"/>
    <w:rsid w:val="005B2205"/>
    <w:rsid w:val="005B2C5F"/>
    <w:rsid w:val="005B2C6D"/>
    <w:rsid w:val="005B2CA2"/>
    <w:rsid w:val="005B2E4B"/>
    <w:rsid w:val="005B300C"/>
    <w:rsid w:val="005B3153"/>
    <w:rsid w:val="005B327F"/>
    <w:rsid w:val="005B3290"/>
    <w:rsid w:val="005B32EE"/>
    <w:rsid w:val="005B3B72"/>
    <w:rsid w:val="005B3D3D"/>
    <w:rsid w:val="005B4339"/>
    <w:rsid w:val="005B4446"/>
    <w:rsid w:val="005B4833"/>
    <w:rsid w:val="005B4903"/>
    <w:rsid w:val="005B4BE2"/>
    <w:rsid w:val="005B4FC7"/>
    <w:rsid w:val="005B5296"/>
    <w:rsid w:val="005B5A00"/>
    <w:rsid w:val="005B5E2A"/>
    <w:rsid w:val="005B6395"/>
    <w:rsid w:val="005B6525"/>
    <w:rsid w:val="005B6787"/>
    <w:rsid w:val="005B6A5A"/>
    <w:rsid w:val="005B7329"/>
    <w:rsid w:val="005B7469"/>
    <w:rsid w:val="005B75C1"/>
    <w:rsid w:val="005B77BD"/>
    <w:rsid w:val="005B7A63"/>
    <w:rsid w:val="005B7F2A"/>
    <w:rsid w:val="005B7FA7"/>
    <w:rsid w:val="005C00B7"/>
    <w:rsid w:val="005C02A4"/>
    <w:rsid w:val="005C09A6"/>
    <w:rsid w:val="005C0EFB"/>
    <w:rsid w:val="005C1716"/>
    <w:rsid w:val="005C1A4D"/>
    <w:rsid w:val="005C20D2"/>
    <w:rsid w:val="005C2295"/>
    <w:rsid w:val="005C22C2"/>
    <w:rsid w:val="005C257F"/>
    <w:rsid w:val="005C259C"/>
    <w:rsid w:val="005C2A08"/>
    <w:rsid w:val="005C2AB9"/>
    <w:rsid w:val="005C321C"/>
    <w:rsid w:val="005C32FE"/>
    <w:rsid w:val="005C3996"/>
    <w:rsid w:val="005C39E2"/>
    <w:rsid w:val="005C419F"/>
    <w:rsid w:val="005C4FED"/>
    <w:rsid w:val="005C503A"/>
    <w:rsid w:val="005C5083"/>
    <w:rsid w:val="005C5751"/>
    <w:rsid w:val="005C59A9"/>
    <w:rsid w:val="005C625A"/>
    <w:rsid w:val="005C63B4"/>
    <w:rsid w:val="005C66E9"/>
    <w:rsid w:val="005C6A08"/>
    <w:rsid w:val="005C6FE4"/>
    <w:rsid w:val="005C70DD"/>
    <w:rsid w:val="005C7622"/>
    <w:rsid w:val="005C78D9"/>
    <w:rsid w:val="005C7E3D"/>
    <w:rsid w:val="005C7E83"/>
    <w:rsid w:val="005D01ED"/>
    <w:rsid w:val="005D024A"/>
    <w:rsid w:val="005D060C"/>
    <w:rsid w:val="005D0710"/>
    <w:rsid w:val="005D0DFD"/>
    <w:rsid w:val="005D15F1"/>
    <w:rsid w:val="005D1CA9"/>
    <w:rsid w:val="005D20C0"/>
    <w:rsid w:val="005D2566"/>
    <w:rsid w:val="005D2939"/>
    <w:rsid w:val="005D2C6C"/>
    <w:rsid w:val="005D2C71"/>
    <w:rsid w:val="005D316A"/>
    <w:rsid w:val="005D325E"/>
    <w:rsid w:val="005D3344"/>
    <w:rsid w:val="005D3360"/>
    <w:rsid w:val="005D33E8"/>
    <w:rsid w:val="005D3972"/>
    <w:rsid w:val="005D3BAB"/>
    <w:rsid w:val="005D3E3C"/>
    <w:rsid w:val="005D3F0D"/>
    <w:rsid w:val="005D42B0"/>
    <w:rsid w:val="005D4466"/>
    <w:rsid w:val="005D4AE9"/>
    <w:rsid w:val="005D4FD4"/>
    <w:rsid w:val="005D5105"/>
    <w:rsid w:val="005D54E2"/>
    <w:rsid w:val="005D555F"/>
    <w:rsid w:val="005D55BE"/>
    <w:rsid w:val="005D5827"/>
    <w:rsid w:val="005D587E"/>
    <w:rsid w:val="005D5A97"/>
    <w:rsid w:val="005D5D69"/>
    <w:rsid w:val="005D626D"/>
    <w:rsid w:val="005D683F"/>
    <w:rsid w:val="005D69A8"/>
    <w:rsid w:val="005D6ADA"/>
    <w:rsid w:val="005D6D64"/>
    <w:rsid w:val="005D78AC"/>
    <w:rsid w:val="005D7EA2"/>
    <w:rsid w:val="005E0104"/>
    <w:rsid w:val="005E018C"/>
    <w:rsid w:val="005E04D2"/>
    <w:rsid w:val="005E0785"/>
    <w:rsid w:val="005E0892"/>
    <w:rsid w:val="005E0A62"/>
    <w:rsid w:val="005E0B5A"/>
    <w:rsid w:val="005E15A1"/>
    <w:rsid w:val="005E1FC7"/>
    <w:rsid w:val="005E25C2"/>
    <w:rsid w:val="005E268F"/>
    <w:rsid w:val="005E29E7"/>
    <w:rsid w:val="005E3097"/>
    <w:rsid w:val="005E3447"/>
    <w:rsid w:val="005E3484"/>
    <w:rsid w:val="005E35B0"/>
    <w:rsid w:val="005E36A5"/>
    <w:rsid w:val="005E3BF9"/>
    <w:rsid w:val="005E3EEA"/>
    <w:rsid w:val="005E3F07"/>
    <w:rsid w:val="005E4912"/>
    <w:rsid w:val="005E4B1A"/>
    <w:rsid w:val="005E4EC3"/>
    <w:rsid w:val="005E4F7E"/>
    <w:rsid w:val="005E512E"/>
    <w:rsid w:val="005E52B6"/>
    <w:rsid w:val="005E5485"/>
    <w:rsid w:val="005E5A04"/>
    <w:rsid w:val="005E61F6"/>
    <w:rsid w:val="005E6623"/>
    <w:rsid w:val="005E6698"/>
    <w:rsid w:val="005E66A3"/>
    <w:rsid w:val="005E67EF"/>
    <w:rsid w:val="005E6E00"/>
    <w:rsid w:val="005E705A"/>
    <w:rsid w:val="005E7428"/>
    <w:rsid w:val="005E759E"/>
    <w:rsid w:val="005E767A"/>
    <w:rsid w:val="005E7995"/>
    <w:rsid w:val="005F0360"/>
    <w:rsid w:val="005F0F73"/>
    <w:rsid w:val="005F10EC"/>
    <w:rsid w:val="005F1774"/>
    <w:rsid w:val="005F1807"/>
    <w:rsid w:val="005F19C6"/>
    <w:rsid w:val="005F1BAE"/>
    <w:rsid w:val="005F1C67"/>
    <w:rsid w:val="005F1E85"/>
    <w:rsid w:val="005F2140"/>
    <w:rsid w:val="005F22C6"/>
    <w:rsid w:val="005F2883"/>
    <w:rsid w:val="005F2B38"/>
    <w:rsid w:val="005F36CD"/>
    <w:rsid w:val="005F3845"/>
    <w:rsid w:val="005F3846"/>
    <w:rsid w:val="005F3B0B"/>
    <w:rsid w:val="005F3E31"/>
    <w:rsid w:val="005F3E6D"/>
    <w:rsid w:val="005F41CA"/>
    <w:rsid w:val="005F470E"/>
    <w:rsid w:val="005F4794"/>
    <w:rsid w:val="005F4B34"/>
    <w:rsid w:val="005F4D79"/>
    <w:rsid w:val="005F4FB0"/>
    <w:rsid w:val="005F5188"/>
    <w:rsid w:val="005F52A0"/>
    <w:rsid w:val="005F5462"/>
    <w:rsid w:val="005F5649"/>
    <w:rsid w:val="005F5667"/>
    <w:rsid w:val="005F5692"/>
    <w:rsid w:val="005F570F"/>
    <w:rsid w:val="005F5F03"/>
    <w:rsid w:val="005F60C9"/>
    <w:rsid w:val="005F6269"/>
    <w:rsid w:val="005F68E4"/>
    <w:rsid w:val="005F6955"/>
    <w:rsid w:val="005F6F05"/>
    <w:rsid w:val="005F7152"/>
    <w:rsid w:val="005F716E"/>
    <w:rsid w:val="005F7198"/>
    <w:rsid w:val="005F722F"/>
    <w:rsid w:val="005F75A8"/>
    <w:rsid w:val="005F7644"/>
    <w:rsid w:val="005F78B1"/>
    <w:rsid w:val="005F79D7"/>
    <w:rsid w:val="00600187"/>
    <w:rsid w:val="00600370"/>
    <w:rsid w:val="00600405"/>
    <w:rsid w:val="006004AA"/>
    <w:rsid w:val="006004B3"/>
    <w:rsid w:val="00600532"/>
    <w:rsid w:val="0060097C"/>
    <w:rsid w:val="00600E53"/>
    <w:rsid w:val="00601650"/>
    <w:rsid w:val="0060168E"/>
    <w:rsid w:val="0060173D"/>
    <w:rsid w:val="00601B30"/>
    <w:rsid w:val="00601C28"/>
    <w:rsid w:val="00601C6E"/>
    <w:rsid w:val="00602400"/>
    <w:rsid w:val="0060260C"/>
    <w:rsid w:val="00602E4C"/>
    <w:rsid w:val="00602E84"/>
    <w:rsid w:val="00602EDE"/>
    <w:rsid w:val="00602FCC"/>
    <w:rsid w:val="00603077"/>
    <w:rsid w:val="006030D6"/>
    <w:rsid w:val="0060314B"/>
    <w:rsid w:val="00603361"/>
    <w:rsid w:val="0060376B"/>
    <w:rsid w:val="0060389E"/>
    <w:rsid w:val="00603962"/>
    <w:rsid w:val="00604C1D"/>
    <w:rsid w:val="00604EEF"/>
    <w:rsid w:val="0060507E"/>
    <w:rsid w:val="006052F5"/>
    <w:rsid w:val="006054A0"/>
    <w:rsid w:val="006057FE"/>
    <w:rsid w:val="00605AFD"/>
    <w:rsid w:val="00605BF9"/>
    <w:rsid w:val="00606C48"/>
    <w:rsid w:val="00606D1C"/>
    <w:rsid w:val="006072EF"/>
    <w:rsid w:val="00607461"/>
    <w:rsid w:val="00607851"/>
    <w:rsid w:val="00607BF3"/>
    <w:rsid w:val="00607CBD"/>
    <w:rsid w:val="0061007C"/>
    <w:rsid w:val="00610101"/>
    <w:rsid w:val="00610296"/>
    <w:rsid w:val="00610767"/>
    <w:rsid w:val="00610BC7"/>
    <w:rsid w:val="00610F30"/>
    <w:rsid w:val="006116CB"/>
    <w:rsid w:val="00611CC2"/>
    <w:rsid w:val="00611DD3"/>
    <w:rsid w:val="0061216E"/>
    <w:rsid w:val="006121CC"/>
    <w:rsid w:val="006123D4"/>
    <w:rsid w:val="00612BBD"/>
    <w:rsid w:val="00612DDF"/>
    <w:rsid w:val="00612F93"/>
    <w:rsid w:val="00613193"/>
    <w:rsid w:val="006132F9"/>
    <w:rsid w:val="006139C3"/>
    <w:rsid w:val="00613C11"/>
    <w:rsid w:val="00613DB9"/>
    <w:rsid w:val="00614386"/>
    <w:rsid w:val="0061445B"/>
    <w:rsid w:val="006144F1"/>
    <w:rsid w:val="006144FF"/>
    <w:rsid w:val="0061485E"/>
    <w:rsid w:val="006153BE"/>
    <w:rsid w:val="006154F2"/>
    <w:rsid w:val="00615619"/>
    <w:rsid w:val="006157CF"/>
    <w:rsid w:val="00615ACF"/>
    <w:rsid w:val="00615E62"/>
    <w:rsid w:val="0061648D"/>
    <w:rsid w:val="00616BAE"/>
    <w:rsid w:val="00616CA7"/>
    <w:rsid w:val="00616CC6"/>
    <w:rsid w:val="00617333"/>
    <w:rsid w:val="00617CBB"/>
    <w:rsid w:val="00617DE8"/>
    <w:rsid w:val="0062055F"/>
    <w:rsid w:val="00620847"/>
    <w:rsid w:val="00620E76"/>
    <w:rsid w:val="006210F5"/>
    <w:rsid w:val="006214A7"/>
    <w:rsid w:val="006218DA"/>
    <w:rsid w:val="006221A4"/>
    <w:rsid w:val="006224DB"/>
    <w:rsid w:val="00622B60"/>
    <w:rsid w:val="00622D12"/>
    <w:rsid w:val="00623030"/>
    <w:rsid w:val="0062393D"/>
    <w:rsid w:val="00623946"/>
    <w:rsid w:val="0062441F"/>
    <w:rsid w:val="006245EE"/>
    <w:rsid w:val="00624615"/>
    <w:rsid w:val="006248E8"/>
    <w:rsid w:val="00624B9E"/>
    <w:rsid w:val="00624C4B"/>
    <w:rsid w:val="00624D4A"/>
    <w:rsid w:val="006252FD"/>
    <w:rsid w:val="00625B2F"/>
    <w:rsid w:val="00625D62"/>
    <w:rsid w:val="00626880"/>
    <w:rsid w:val="006269DA"/>
    <w:rsid w:val="00626DB9"/>
    <w:rsid w:val="00626DDD"/>
    <w:rsid w:val="00626F89"/>
    <w:rsid w:val="00626FF8"/>
    <w:rsid w:val="00627067"/>
    <w:rsid w:val="00627317"/>
    <w:rsid w:val="00627762"/>
    <w:rsid w:val="006277B8"/>
    <w:rsid w:val="0062791E"/>
    <w:rsid w:val="00627BC0"/>
    <w:rsid w:val="00627D9B"/>
    <w:rsid w:val="00627EB5"/>
    <w:rsid w:val="006305AD"/>
    <w:rsid w:val="006309BE"/>
    <w:rsid w:val="00630A28"/>
    <w:rsid w:val="00630D34"/>
    <w:rsid w:val="0063135A"/>
    <w:rsid w:val="00631E2C"/>
    <w:rsid w:val="00631E60"/>
    <w:rsid w:val="00632183"/>
    <w:rsid w:val="006321FD"/>
    <w:rsid w:val="00632658"/>
    <w:rsid w:val="00633089"/>
    <w:rsid w:val="006333F7"/>
    <w:rsid w:val="006334BB"/>
    <w:rsid w:val="00633A69"/>
    <w:rsid w:val="00633CB3"/>
    <w:rsid w:val="00634143"/>
    <w:rsid w:val="0063428D"/>
    <w:rsid w:val="006344E8"/>
    <w:rsid w:val="006347E4"/>
    <w:rsid w:val="00634DE6"/>
    <w:rsid w:val="00634DFA"/>
    <w:rsid w:val="00635070"/>
    <w:rsid w:val="00635984"/>
    <w:rsid w:val="00635A58"/>
    <w:rsid w:val="00635B70"/>
    <w:rsid w:val="00635F6E"/>
    <w:rsid w:val="0063604E"/>
    <w:rsid w:val="0063647B"/>
    <w:rsid w:val="00636BD5"/>
    <w:rsid w:val="00637057"/>
    <w:rsid w:val="0063783A"/>
    <w:rsid w:val="006379AE"/>
    <w:rsid w:val="00637D18"/>
    <w:rsid w:val="00637EBA"/>
    <w:rsid w:val="00637FA7"/>
    <w:rsid w:val="006402CC"/>
    <w:rsid w:val="00640506"/>
    <w:rsid w:val="00640EA0"/>
    <w:rsid w:val="006419FF"/>
    <w:rsid w:val="00641A1E"/>
    <w:rsid w:val="00641B85"/>
    <w:rsid w:val="006422F3"/>
    <w:rsid w:val="00642675"/>
    <w:rsid w:val="00642812"/>
    <w:rsid w:val="00642D54"/>
    <w:rsid w:val="00642FFA"/>
    <w:rsid w:val="006433C7"/>
    <w:rsid w:val="00643E57"/>
    <w:rsid w:val="00643FFB"/>
    <w:rsid w:val="00644EE6"/>
    <w:rsid w:val="00644FFF"/>
    <w:rsid w:val="0064509B"/>
    <w:rsid w:val="00645324"/>
    <w:rsid w:val="00645C2D"/>
    <w:rsid w:val="00646014"/>
    <w:rsid w:val="00646373"/>
    <w:rsid w:val="006468D3"/>
    <w:rsid w:val="00646C9B"/>
    <w:rsid w:val="00646E4F"/>
    <w:rsid w:val="006470FC"/>
    <w:rsid w:val="006472DB"/>
    <w:rsid w:val="00647570"/>
    <w:rsid w:val="006475C7"/>
    <w:rsid w:val="00647C56"/>
    <w:rsid w:val="00647E18"/>
    <w:rsid w:val="006502A8"/>
    <w:rsid w:val="00650A48"/>
    <w:rsid w:val="00650F55"/>
    <w:rsid w:val="00651087"/>
    <w:rsid w:val="0065144B"/>
    <w:rsid w:val="00651B51"/>
    <w:rsid w:val="00651BD7"/>
    <w:rsid w:val="006520C1"/>
    <w:rsid w:val="00652618"/>
    <w:rsid w:val="0065262F"/>
    <w:rsid w:val="0065295B"/>
    <w:rsid w:val="00652B33"/>
    <w:rsid w:val="00652C27"/>
    <w:rsid w:val="00652C54"/>
    <w:rsid w:val="00652E92"/>
    <w:rsid w:val="006532C5"/>
    <w:rsid w:val="00653656"/>
    <w:rsid w:val="006543F7"/>
    <w:rsid w:val="006544D7"/>
    <w:rsid w:val="00654562"/>
    <w:rsid w:val="0065474C"/>
    <w:rsid w:val="00654A28"/>
    <w:rsid w:val="00654A6E"/>
    <w:rsid w:val="00654C41"/>
    <w:rsid w:val="00655961"/>
    <w:rsid w:val="00655F9C"/>
    <w:rsid w:val="00655F9E"/>
    <w:rsid w:val="0065600F"/>
    <w:rsid w:val="00656024"/>
    <w:rsid w:val="006560B7"/>
    <w:rsid w:val="00656390"/>
    <w:rsid w:val="006564D3"/>
    <w:rsid w:val="006565A5"/>
    <w:rsid w:val="006566DC"/>
    <w:rsid w:val="00656945"/>
    <w:rsid w:val="00656972"/>
    <w:rsid w:val="00656A3D"/>
    <w:rsid w:val="00656EF1"/>
    <w:rsid w:val="006571E0"/>
    <w:rsid w:val="0065725C"/>
    <w:rsid w:val="00657666"/>
    <w:rsid w:val="006578B9"/>
    <w:rsid w:val="00657AD0"/>
    <w:rsid w:val="00657D06"/>
    <w:rsid w:val="00657D57"/>
    <w:rsid w:val="00660009"/>
    <w:rsid w:val="00660752"/>
    <w:rsid w:val="00660942"/>
    <w:rsid w:val="00660A34"/>
    <w:rsid w:val="00660CA3"/>
    <w:rsid w:val="00660E69"/>
    <w:rsid w:val="00661118"/>
    <w:rsid w:val="0066119D"/>
    <w:rsid w:val="00661262"/>
    <w:rsid w:val="0066167D"/>
    <w:rsid w:val="00661ABA"/>
    <w:rsid w:val="00661D1C"/>
    <w:rsid w:val="006621C7"/>
    <w:rsid w:val="006621F8"/>
    <w:rsid w:val="00662546"/>
    <w:rsid w:val="006625C7"/>
    <w:rsid w:val="006629CD"/>
    <w:rsid w:val="00662F9D"/>
    <w:rsid w:val="0066308E"/>
    <w:rsid w:val="00663143"/>
    <w:rsid w:val="0066333A"/>
    <w:rsid w:val="006634A8"/>
    <w:rsid w:val="006635C6"/>
    <w:rsid w:val="00663A89"/>
    <w:rsid w:val="00663E82"/>
    <w:rsid w:val="006642D6"/>
    <w:rsid w:val="00664497"/>
    <w:rsid w:val="006644E4"/>
    <w:rsid w:val="0066474D"/>
    <w:rsid w:val="0066477B"/>
    <w:rsid w:val="00664C5C"/>
    <w:rsid w:val="00664C73"/>
    <w:rsid w:val="00664E2F"/>
    <w:rsid w:val="00664EF6"/>
    <w:rsid w:val="00664F1F"/>
    <w:rsid w:val="0066574E"/>
    <w:rsid w:val="00665B4E"/>
    <w:rsid w:val="00666399"/>
    <w:rsid w:val="00666572"/>
    <w:rsid w:val="00666DC4"/>
    <w:rsid w:val="006675EF"/>
    <w:rsid w:val="00667A23"/>
    <w:rsid w:val="00667D6B"/>
    <w:rsid w:val="00667FDF"/>
    <w:rsid w:val="00670099"/>
    <w:rsid w:val="006702C9"/>
    <w:rsid w:val="006710DA"/>
    <w:rsid w:val="006712A0"/>
    <w:rsid w:val="0067142A"/>
    <w:rsid w:val="006715D4"/>
    <w:rsid w:val="0067169C"/>
    <w:rsid w:val="00671BD0"/>
    <w:rsid w:val="00672145"/>
    <w:rsid w:val="0067230E"/>
    <w:rsid w:val="0067286B"/>
    <w:rsid w:val="006734E3"/>
    <w:rsid w:val="00673636"/>
    <w:rsid w:val="006737B8"/>
    <w:rsid w:val="00673C64"/>
    <w:rsid w:val="00673F4C"/>
    <w:rsid w:val="006741B3"/>
    <w:rsid w:val="006745A4"/>
    <w:rsid w:val="006745AD"/>
    <w:rsid w:val="0067460F"/>
    <w:rsid w:val="00674714"/>
    <w:rsid w:val="006747B8"/>
    <w:rsid w:val="00674A60"/>
    <w:rsid w:val="00674D29"/>
    <w:rsid w:val="00674E0B"/>
    <w:rsid w:val="00675827"/>
    <w:rsid w:val="00675A8A"/>
    <w:rsid w:val="00675C44"/>
    <w:rsid w:val="00675D54"/>
    <w:rsid w:val="00675F1B"/>
    <w:rsid w:val="0067622C"/>
    <w:rsid w:val="006769B5"/>
    <w:rsid w:val="00676DF2"/>
    <w:rsid w:val="00677795"/>
    <w:rsid w:val="00677A0D"/>
    <w:rsid w:val="00677F1F"/>
    <w:rsid w:val="00677F80"/>
    <w:rsid w:val="00680D07"/>
    <w:rsid w:val="00680D7D"/>
    <w:rsid w:val="00680DAE"/>
    <w:rsid w:val="00680F7C"/>
    <w:rsid w:val="00681114"/>
    <w:rsid w:val="006813D0"/>
    <w:rsid w:val="0068250F"/>
    <w:rsid w:val="006827A7"/>
    <w:rsid w:val="00683655"/>
    <w:rsid w:val="00683CF3"/>
    <w:rsid w:val="006843F0"/>
    <w:rsid w:val="0068457D"/>
    <w:rsid w:val="00684B18"/>
    <w:rsid w:val="00684E36"/>
    <w:rsid w:val="00684F4E"/>
    <w:rsid w:val="00685032"/>
    <w:rsid w:val="006851D3"/>
    <w:rsid w:val="006856A2"/>
    <w:rsid w:val="006859A7"/>
    <w:rsid w:val="00685C88"/>
    <w:rsid w:val="00685CF7"/>
    <w:rsid w:val="0068602A"/>
    <w:rsid w:val="006860C7"/>
    <w:rsid w:val="00686165"/>
    <w:rsid w:val="006866FC"/>
    <w:rsid w:val="006867F9"/>
    <w:rsid w:val="006868D0"/>
    <w:rsid w:val="00686E30"/>
    <w:rsid w:val="00686E50"/>
    <w:rsid w:val="006870EB"/>
    <w:rsid w:val="006875CF"/>
    <w:rsid w:val="0068792D"/>
    <w:rsid w:val="00687D57"/>
    <w:rsid w:val="00687E53"/>
    <w:rsid w:val="006905A7"/>
    <w:rsid w:val="006906E4"/>
    <w:rsid w:val="00690D5D"/>
    <w:rsid w:val="0069176C"/>
    <w:rsid w:val="00691842"/>
    <w:rsid w:val="00691C17"/>
    <w:rsid w:val="00691CB5"/>
    <w:rsid w:val="00691E86"/>
    <w:rsid w:val="006921AF"/>
    <w:rsid w:val="006923DF"/>
    <w:rsid w:val="00692978"/>
    <w:rsid w:val="0069302F"/>
    <w:rsid w:val="006934F4"/>
    <w:rsid w:val="00693537"/>
    <w:rsid w:val="00693876"/>
    <w:rsid w:val="00693A06"/>
    <w:rsid w:val="00693B70"/>
    <w:rsid w:val="00693CF3"/>
    <w:rsid w:val="00693D4A"/>
    <w:rsid w:val="00694659"/>
    <w:rsid w:val="00694670"/>
    <w:rsid w:val="00694822"/>
    <w:rsid w:val="00694D63"/>
    <w:rsid w:val="00694FEF"/>
    <w:rsid w:val="006950CD"/>
    <w:rsid w:val="0069601F"/>
    <w:rsid w:val="0069614F"/>
    <w:rsid w:val="00696867"/>
    <w:rsid w:val="00696B31"/>
    <w:rsid w:val="00696C38"/>
    <w:rsid w:val="00696FCF"/>
    <w:rsid w:val="00697E3A"/>
    <w:rsid w:val="006A05FE"/>
    <w:rsid w:val="006A092F"/>
    <w:rsid w:val="006A0A7B"/>
    <w:rsid w:val="006A0F0A"/>
    <w:rsid w:val="006A1274"/>
    <w:rsid w:val="006A157B"/>
    <w:rsid w:val="006A180C"/>
    <w:rsid w:val="006A19E7"/>
    <w:rsid w:val="006A1D3E"/>
    <w:rsid w:val="006A1D73"/>
    <w:rsid w:val="006A2A2B"/>
    <w:rsid w:val="006A2DF5"/>
    <w:rsid w:val="006A2F68"/>
    <w:rsid w:val="006A30D2"/>
    <w:rsid w:val="006A37F5"/>
    <w:rsid w:val="006A38B7"/>
    <w:rsid w:val="006A391A"/>
    <w:rsid w:val="006A398E"/>
    <w:rsid w:val="006A3A55"/>
    <w:rsid w:val="006A3C30"/>
    <w:rsid w:val="006A40F3"/>
    <w:rsid w:val="006A411C"/>
    <w:rsid w:val="006A49A2"/>
    <w:rsid w:val="006A49DC"/>
    <w:rsid w:val="006A54F7"/>
    <w:rsid w:val="006A57EA"/>
    <w:rsid w:val="006A58BC"/>
    <w:rsid w:val="006A6477"/>
    <w:rsid w:val="006A64CB"/>
    <w:rsid w:val="006A66DE"/>
    <w:rsid w:val="006A67DE"/>
    <w:rsid w:val="006A6C98"/>
    <w:rsid w:val="006A6D09"/>
    <w:rsid w:val="006A7655"/>
    <w:rsid w:val="006A7833"/>
    <w:rsid w:val="006A7B3E"/>
    <w:rsid w:val="006A7DE6"/>
    <w:rsid w:val="006A7F54"/>
    <w:rsid w:val="006B018C"/>
    <w:rsid w:val="006B0743"/>
    <w:rsid w:val="006B098E"/>
    <w:rsid w:val="006B09DA"/>
    <w:rsid w:val="006B0BEE"/>
    <w:rsid w:val="006B0E81"/>
    <w:rsid w:val="006B0FA6"/>
    <w:rsid w:val="006B0FD7"/>
    <w:rsid w:val="006B14E3"/>
    <w:rsid w:val="006B16F5"/>
    <w:rsid w:val="006B1736"/>
    <w:rsid w:val="006B1884"/>
    <w:rsid w:val="006B1CD3"/>
    <w:rsid w:val="006B1D2C"/>
    <w:rsid w:val="006B1E2D"/>
    <w:rsid w:val="006B21B5"/>
    <w:rsid w:val="006B244F"/>
    <w:rsid w:val="006B28D5"/>
    <w:rsid w:val="006B2CBC"/>
    <w:rsid w:val="006B2D18"/>
    <w:rsid w:val="006B31E9"/>
    <w:rsid w:val="006B3299"/>
    <w:rsid w:val="006B337B"/>
    <w:rsid w:val="006B34A0"/>
    <w:rsid w:val="006B35B6"/>
    <w:rsid w:val="006B377F"/>
    <w:rsid w:val="006B38FF"/>
    <w:rsid w:val="006B43C3"/>
    <w:rsid w:val="006B4466"/>
    <w:rsid w:val="006B54AE"/>
    <w:rsid w:val="006B5C09"/>
    <w:rsid w:val="006B60BE"/>
    <w:rsid w:val="006B60F7"/>
    <w:rsid w:val="006B632B"/>
    <w:rsid w:val="006B6455"/>
    <w:rsid w:val="006B6514"/>
    <w:rsid w:val="006B6623"/>
    <w:rsid w:val="006B677C"/>
    <w:rsid w:val="006B6833"/>
    <w:rsid w:val="006B68B6"/>
    <w:rsid w:val="006B6952"/>
    <w:rsid w:val="006B697A"/>
    <w:rsid w:val="006B6E86"/>
    <w:rsid w:val="006B732A"/>
    <w:rsid w:val="006B7A42"/>
    <w:rsid w:val="006B7ABE"/>
    <w:rsid w:val="006B7FB5"/>
    <w:rsid w:val="006C073F"/>
    <w:rsid w:val="006C0F36"/>
    <w:rsid w:val="006C1892"/>
    <w:rsid w:val="006C1AF1"/>
    <w:rsid w:val="006C1FB6"/>
    <w:rsid w:val="006C21E9"/>
    <w:rsid w:val="006C25F5"/>
    <w:rsid w:val="006C278E"/>
    <w:rsid w:val="006C2A09"/>
    <w:rsid w:val="006C2B49"/>
    <w:rsid w:val="006C2CF2"/>
    <w:rsid w:val="006C2DC2"/>
    <w:rsid w:val="006C2E00"/>
    <w:rsid w:val="006C2FB1"/>
    <w:rsid w:val="006C3192"/>
    <w:rsid w:val="006C34CB"/>
    <w:rsid w:val="006C39EB"/>
    <w:rsid w:val="006C3E3B"/>
    <w:rsid w:val="006C3E66"/>
    <w:rsid w:val="006C3EF8"/>
    <w:rsid w:val="006C416D"/>
    <w:rsid w:val="006C41CF"/>
    <w:rsid w:val="006C4282"/>
    <w:rsid w:val="006C430B"/>
    <w:rsid w:val="006C43FA"/>
    <w:rsid w:val="006C4B5D"/>
    <w:rsid w:val="006C4F3C"/>
    <w:rsid w:val="006C567E"/>
    <w:rsid w:val="006C5797"/>
    <w:rsid w:val="006C57B1"/>
    <w:rsid w:val="006C5849"/>
    <w:rsid w:val="006C5953"/>
    <w:rsid w:val="006C5B73"/>
    <w:rsid w:val="006C5D2D"/>
    <w:rsid w:val="006C5F3D"/>
    <w:rsid w:val="006C60ED"/>
    <w:rsid w:val="006C62B9"/>
    <w:rsid w:val="006C62ED"/>
    <w:rsid w:val="006C6328"/>
    <w:rsid w:val="006C645D"/>
    <w:rsid w:val="006C6D0A"/>
    <w:rsid w:val="006C739B"/>
    <w:rsid w:val="006C7ADB"/>
    <w:rsid w:val="006C7B4E"/>
    <w:rsid w:val="006C7BD8"/>
    <w:rsid w:val="006D0355"/>
    <w:rsid w:val="006D0A4D"/>
    <w:rsid w:val="006D0C3B"/>
    <w:rsid w:val="006D0C94"/>
    <w:rsid w:val="006D1075"/>
    <w:rsid w:val="006D15B7"/>
    <w:rsid w:val="006D18B4"/>
    <w:rsid w:val="006D1CF4"/>
    <w:rsid w:val="006D1F8B"/>
    <w:rsid w:val="006D1FA7"/>
    <w:rsid w:val="006D2273"/>
    <w:rsid w:val="006D22EC"/>
    <w:rsid w:val="006D262B"/>
    <w:rsid w:val="006D2BA6"/>
    <w:rsid w:val="006D3201"/>
    <w:rsid w:val="006D39E7"/>
    <w:rsid w:val="006D3F66"/>
    <w:rsid w:val="006D42A5"/>
    <w:rsid w:val="006D436B"/>
    <w:rsid w:val="006D4599"/>
    <w:rsid w:val="006D476C"/>
    <w:rsid w:val="006D4925"/>
    <w:rsid w:val="006D4BEA"/>
    <w:rsid w:val="006D5036"/>
    <w:rsid w:val="006D50DB"/>
    <w:rsid w:val="006D52DC"/>
    <w:rsid w:val="006D6863"/>
    <w:rsid w:val="006D7A92"/>
    <w:rsid w:val="006D7B10"/>
    <w:rsid w:val="006D7F5D"/>
    <w:rsid w:val="006E00C5"/>
    <w:rsid w:val="006E0564"/>
    <w:rsid w:val="006E0695"/>
    <w:rsid w:val="006E1719"/>
    <w:rsid w:val="006E199C"/>
    <w:rsid w:val="006E1A23"/>
    <w:rsid w:val="006E1BCC"/>
    <w:rsid w:val="006E1C5C"/>
    <w:rsid w:val="006E29EF"/>
    <w:rsid w:val="006E2D2A"/>
    <w:rsid w:val="006E2D7E"/>
    <w:rsid w:val="006E2E98"/>
    <w:rsid w:val="006E312D"/>
    <w:rsid w:val="006E313E"/>
    <w:rsid w:val="006E349C"/>
    <w:rsid w:val="006E350D"/>
    <w:rsid w:val="006E379F"/>
    <w:rsid w:val="006E3CA4"/>
    <w:rsid w:val="006E3CC3"/>
    <w:rsid w:val="006E3E10"/>
    <w:rsid w:val="006E3EF6"/>
    <w:rsid w:val="006E48AB"/>
    <w:rsid w:val="006E5BD6"/>
    <w:rsid w:val="006E5DC1"/>
    <w:rsid w:val="006E614C"/>
    <w:rsid w:val="006E6237"/>
    <w:rsid w:val="006E6449"/>
    <w:rsid w:val="006E64DF"/>
    <w:rsid w:val="006E676D"/>
    <w:rsid w:val="006E6B2B"/>
    <w:rsid w:val="006E6F00"/>
    <w:rsid w:val="006E721D"/>
    <w:rsid w:val="006E7AE5"/>
    <w:rsid w:val="006E7F2B"/>
    <w:rsid w:val="006F00A6"/>
    <w:rsid w:val="006F049E"/>
    <w:rsid w:val="006F0B28"/>
    <w:rsid w:val="006F0CBD"/>
    <w:rsid w:val="006F0CCD"/>
    <w:rsid w:val="006F11FB"/>
    <w:rsid w:val="006F16E9"/>
    <w:rsid w:val="006F17BA"/>
    <w:rsid w:val="006F1A62"/>
    <w:rsid w:val="006F1AE8"/>
    <w:rsid w:val="006F1CBE"/>
    <w:rsid w:val="006F1E6E"/>
    <w:rsid w:val="006F240F"/>
    <w:rsid w:val="006F2A4B"/>
    <w:rsid w:val="006F38EC"/>
    <w:rsid w:val="006F3D8E"/>
    <w:rsid w:val="006F42F2"/>
    <w:rsid w:val="006F48D6"/>
    <w:rsid w:val="006F4B9B"/>
    <w:rsid w:val="006F4F40"/>
    <w:rsid w:val="006F5423"/>
    <w:rsid w:val="006F58E1"/>
    <w:rsid w:val="006F5B3F"/>
    <w:rsid w:val="006F5DAF"/>
    <w:rsid w:val="006F5FC9"/>
    <w:rsid w:val="006F600F"/>
    <w:rsid w:val="006F60D3"/>
    <w:rsid w:val="006F70ED"/>
    <w:rsid w:val="006F7236"/>
    <w:rsid w:val="006F7357"/>
    <w:rsid w:val="006F7AE4"/>
    <w:rsid w:val="00700329"/>
    <w:rsid w:val="00700635"/>
    <w:rsid w:val="007007F4"/>
    <w:rsid w:val="00700945"/>
    <w:rsid w:val="00700FAE"/>
    <w:rsid w:val="00701312"/>
    <w:rsid w:val="00701470"/>
    <w:rsid w:val="00701967"/>
    <w:rsid w:val="00701B16"/>
    <w:rsid w:val="00701B22"/>
    <w:rsid w:val="007021E5"/>
    <w:rsid w:val="00702356"/>
    <w:rsid w:val="00702E6B"/>
    <w:rsid w:val="00702EF1"/>
    <w:rsid w:val="00703ECF"/>
    <w:rsid w:val="0070419F"/>
    <w:rsid w:val="00704324"/>
    <w:rsid w:val="00704376"/>
    <w:rsid w:val="007048BE"/>
    <w:rsid w:val="00704B24"/>
    <w:rsid w:val="00704B4D"/>
    <w:rsid w:val="00705549"/>
    <w:rsid w:val="007055D4"/>
    <w:rsid w:val="00705764"/>
    <w:rsid w:val="007058CE"/>
    <w:rsid w:val="00705ACC"/>
    <w:rsid w:val="00705DE6"/>
    <w:rsid w:val="00705F83"/>
    <w:rsid w:val="0070607B"/>
    <w:rsid w:val="00706701"/>
    <w:rsid w:val="00706940"/>
    <w:rsid w:val="00706945"/>
    <w:rsid w:val="00706B98"/>
    <w:rsid w:val="00706E8E"/>
    <w:rsid w:val="00706EAD"/>
    <w:rsid w:val="00706F2A"/>
    <w:rsid w:val="00706F5A"/>
    <w:rsid w:val="00707306"/>
    <w:rsid w:val="0070765E"/>
    <w:rsid w:val="007078CE"/>
    <w:rsid w:val="00707BD0"/>
    <w:rsid w:val="00710C8B"/>
    <w:rsid w:val="00710F64"/>
    <w:rsid w:val="0071102F"/>
    <w:rsid w:val="007111C5"/>
    <w:rsid w:val="00711830"/>
    <w:rsid w:val="00711C0E"/>
    <w:rsid w:val="00711C2B"/>
    <w:rsid w:val="00711D6E"/>
    <w:rsid w:val="00712092"/>
    <w:rsid w:val="00712150"/>
    <w:rsid w:val="007122F0"/>
    <w:rsid w:val="007123BB"/>
    <w:rsid w:val="0071258F"/>
    <w:rsid w:val="00712D0B"/>
    <w:rsid w:val="00713A4E"/>
    <w:rsid w:val="00713ACF"/>
    <w:rsid w:val="00713C3D"/>
    <w:rsid w:val="007140EF"/>
    <w:rsid w:val="00714281"/>
    <w:rsid w:val="0071428E"/>
    <w:rsid w:val="007145B2"/>
    <w:rsid w:val="00714781"/>
    <w:rsid w:val="00714A08"/>
    <w:rsid w:val="00714A98"/>
    <w:rsid w:val="007152ED"/>
    <w:rsid w:val="007155CA"/>
    <w:rsid w:val="0071610D"/>
    <w:rsid w:val="007163F9"/>
    <w:rsid w:val="007164BE"/>
    <w:rsid w:val="007165FF"/>
    <w:rsid w:val="00716A21"/>
    <w:rsid w:val="00716EDB"/>
    <w:rsid w:val="00716FAB"/>
    <w:rsid w:val="00717185"/>
    <w:rsid w:val="007174BA"/>
    <w:rsid w:val="0071763F"/>
    <w:rsid w:val="0071773B"/>
    <w:rsid w:val="00717A77"/>
    <w:rsid w:val="00717B66"/>
    <w:rsid w:val="00720141"/>
    <w:rsid w:val="007201DE"/>
    <w:rsid w:val="00720525"/>
    <w:rsid w:val="00720567"/>
    <w:rsid w:val="0072090B"/>
    <w:rsid w:val="007209EB"/>
    <w:rsid w:val="00720AF9"/>
    <w:rsid w:val="00721192"/>
    <w:rsid w:val="007215C2"/>
    <w:rsid w:val="00721606"/>
    <w:rsid w:val="007218B1"/>
    <w:rsid w:val="0072194C"/>
    <w:rsid w:val="00721B96"/>
    <w:rsid w:val="00721C99"/>
    <w:rsid w:val="00722115"/>
    <w:rsid w:val="007221C2"/>
    <w:rsid w:val="00722290"/>
    <w:rsid w:val="0072245D"/>
    <w:rsid w:val="0072260D"/>
    <w:rsid w:val="007228E8"/>
    <w:rsid w:val="00722A71"/>
    <w:rsid w:val="00722B53"/>
    <w:rsid w:val="00723A79"/>
    <w:rsid w:val="00723C85"/>
    <w:rsid w:val="00723D58"/>
    <w:rsid w:val="0072423A"/>
    <w:rsid w:val="0072434D"/>
    <w:rsid w:val="007243BE"/>
    <w:rsid w:val="00724B26"/>
    <w:rsid w:val="00724CA5"/>
    <w:rsid w:val="00724E9E"/>
    <w:rsid w:val="00724EA2"/>
    <w:rsid w:val="00724F2B"/>
    <w:rsid w:val="0072594E"/>
    <w:rsid w:val="00725B9B"/>
    <w:rsid w:val="00725D22"/>
    <w:rsid w:val="00725EB2"/>
    <w:rsid w:val="007264E3"/>
    <w:rsid w:val="0072659A"/>
    <w:rsid w:val="00726CB6"/>
    <w:rsid w:val="00726CD7"/>
    <w:rsid w:val="00726EDC"/>
    <w:rsid w:val="007272EA"/>
    <w:rsid w:val="0072730E"/>
    <w:rsid w:val="007278D8"/>
    <w:rsid w:val="00727A63"/>
    <w:rsid w:val="00727C8F"/>
    <w:rsid w:val="0073007E"/>
    <w:rsid w:val="00730532"/>
    <w:rsid w:val="007309C2"/>
    <w:rsid w:val="00730B3A"/>
    <w:rsid w:val="00730BEF"/>
    <w:rsid w:val="00730E45"/>
    <w:rsid w:val="00730EFB"/>
    <w:rsid w:val="00731593"/>
    <w:rsid w:val="00731A68"/>
    <w:rsid w:val="00731BD6"/>
    <w:rsid w:val="007320A3"/>
    <w:rsid w:val="0073243F"/>
    <w:rsid w:val="0073252C"/>
    <w:rsid w:val="00732721"/>
    <w:rsid w:val="00732A04"/>
    <w:rsid w:val="00732B2E"/>
    <w:rsid w:val="00732BFC"/>
    <w:rsid w:val="007331C0"/>
    <w:rsid w:val="00733607"/>
    <w:rsid w:val="00733673"/>
    <w:rsid w:val="00733B54"/>
    <w:rsid w:val="00733D3A"/>
    <w:rsid w:val="00733DDB"/>
    <w:rsid w:val="00734417"/>
    <w:rsid w:val="00734BD4"/>
    <w:rsid w:val="00735086"/>
    <w:rsid w:val="00735088"/>
    <w:rsid w:val="00735114"/>
    <w:rsid w:val="00735388"/>
    <w:rsid w:val="00735721"/>
    <w:rsid w:val="00735A96"/>
    <w:rsid w:val="00735BC4"/>
    <w:rsid w:val="00735BCC"/>
    <w:rsid w:val="00735F7C"/>
    <w:rsid w:val="00736165"/>
    <w:rsid w:val="00736518"/>
    <w:rsid w:val="00736539"/>
    <w:rsid w:val="007365A2"/>
    <w:rsid w:val="007366F3"/>
    <w:rsid w:val="00736812"/>
    <w:rsid w:val="00736966"/>
    <w:rsid w:val="00736D3A"/>
    <w:rsid w:val="00736D9D"/>
    <w:rsid w:val="00736F63"/>
    <w:rsid w:val="00737D15"/>
    <w:rsid w:val="00737F04"/>
    <w:rsid w:val="00737FAB"/>
    <w:rsid w:val="00740395"/>
    <w:rsid w:val="0074078A"/>
    <w:rsid w:val="00740A57"/>
    <w:rsid w:val="0074118C"/>
    <w:rsid w:val="00741631"/>
    <w:rsid w:val="00741CEA"/>
    <w:rsid w:val="0074229E"/>
    <w:rsid w:val="0074230A"/>
    <w:rsid w:val="00742350"/>
    <w:rsid w:val="00742FD9"/>
    <w:rsid w:val="00743200"/>
    <w:rsid w:val="007435A3"/>
    <w:rsid w:val="00743A91"/>
    <w:rsid w:val="00743BD0"/>
    <w:rsid w:val="00743EA5"/>
    <w:rsid w:val="00743F4A"/>
    <w:rsid w:val="0074418B"/>
    <w:rsid w:val="00744197"/>
    <w:rsid w:val="007441F4"/>
    <w:rsid w:val="00744211"/>
    <w:rsid w:val="0074434E"/>
    <w:rsid w:val="007446DC"/>
    <w:rsid w:val="007446E6"/>
    <w:rsid w:val="00744773"/>
    <w:rsid w:val="0074488B"/>
    <w:rsid w:val="00744DE7"/>
    <w:rsid w:val="00744FF8"/>
    <w:rsid w:val="0074558B"/>
    <w:rsid w:val="007455FE"/>
    <w:rsid w:val="007458D7"/>
    <w:rsid w:val="00745C35"/>
    <w:rsid w:val="00745D45"/>
    <w:rsid w:val="00745DDE"/>
    <w:rsid w:val="00746531"/>
    <w:rsid w:val="007465EC"/>
    <w:rsid w:val="00746972"/>
    <w:rsid w:val="00746DF5"/>
    <w:rsid w:val="00747179"/>
    <w:rsid w:val="007472D8"/>
    <w:rsid w:val="00747327"/>
    <w:rsid w:val="0074786E"/>
    <w:rsid w:val="00747CBA"/>
    <w:rsid w:val="00750023"/>
    <w:rsid w:val="0075011A"/>
    <w:rsid w:val="00750276"/>
    <w:rsid w:val="0075037F"/>
    <w:rsid w:val="00750430"/>
    <w:rsid w:val="007504B0"/>
    <w:rsid w:val="007505AB"/>
    <w:rsid w:val="007508EB"/>
    <w:rsid w:val="007509DD"/>
    <w:rsid w:val="00750EC7"/>
    <w:rsid w:val="00750F72"/>
    <w:rsid w:val="00750FE8"/>
    <w:rsid w:val="00751166"/>
    <w:rsid w:val="0075168E"/>
    <w:rsid w:val="007517EF"/>
    <w:rsid w:val="00751C78"/>
    <w:rsid w:val="00751D22"/>
    <w:rsid w:val="00752369"/>
    <w:rsid w:val="007523AE"/>
    <w:rsid w:val="007523EE"/>
    <w:rsid w:val="00752EC0"/>
    <w:rsid w:val="007532B1"/>
    <w:rsid w:val="00753402"/>
    <w:rsid w:val="007536C6"/>
    <w:rsid w:val="00753E4B"/>
    <w:rsid w:val="00753E84"/>
    <w:rsid w:val="00754230"/>
    <w:rsid w:val="00754388"/>
    <w:rsid w:val="00754587"/>
    <w:rsid w:val="00754A6E"/>
    <w:rsid w:val="00754B3B"/>
    <w:rsid w:val="007555F1"/>
    <w:rsid w:val="00755A99"/>
    <w:rsid w:val="00755B65"/>
    <w:rsid w:val="00755BC1"/>
    <w:rsid w:val="00755D95"/>
    <w:rsid w:val="00755E38"/>
    <w:rsid w:val="00755F42"/>
    <w:rsid w:val="007561CD"/>
    <w:rsid w:val="00756327"/>
    <w:rsid w:val="007564CD"/>
    <w:rsid w:val="00756F86"/>
    <w:rsid w:val="007570F0"/>
    <w:rsid w:val="007579C0"/>
    <w:rsid w:val="00760EA8"/>
    <w:rsid w:val="0076115B"/>
    <w:rsid w:val="007616F1"/>
    <w:rsid w:val="0076201E"/>
    <w:rsid w:val="007620EE"/>
    <w:rsid w:val="00762337"/>
    <w:rsid w:val="007623E0"/>
    <w:rsid w:val="00762BBB"/>
    <w:rsid w:val="00762CD7"/>
    <w:rsid w:val="00762FBC"/>
    <w:rsid w:val="0076304A"/>
    <w:rsid w:val="00763113"/>
    <w:rsid w:val="0076339F"/>
    <w:rsid w:val="00763474"/>
    <w:rsid w:val="007634ED"/>
    <w:rsid w:val="00763A0D"/>
    <w:rsid w:val="00763A3A"/>
    <w:rsid w:val="00763ED5"/>
    <w:rsid w:val="007640B5"/>
    <w:rsid w:val="00764414"/>
    <w:rsid w:val="007647A4"/>
    <w:rsid w:val="00764851"/>
    <w:rsid w:val="00764906"/>
    <w:rsid w:val="00764998"/>
    <w:rsid w:val="00764C87"/>
    <w:rsid w:val="00764D73"/>
    <w:rsid w:val="00764F92"/>
    <w:rsid w:val="00765065"/>
    <w:rsid w:val="007650D5"/>
    <w:rsid w:val="0076561E"/>
    <w:rsid w:val="007658D5"/>
    <w:rsid w:val="00765F17"/>
    <w:rsid w:val="007661D4"/>
    <w:rsid w:val="007661E0"/>
    <w:rsid w:val="007664D4"/>
    <w:rsid w:val="00766F0B"/>
    <w:rsid w:val="00767024"/>
    <w:rsid w:val="007673BE"/>
    <w:rsid w:val="00767A52"/>
    <w:rsid w:val="00767ED1"/>
    <w:rsid w:val="0077021B"/>
    <w:rsid w:val="00770322"/>
    <w:rsid w:val="00770A81"/>
    <w:rsid w:val="00770BF6"/>
    <w:rsid w:val="00770C99"/>
    <w:rsid w:val="00770EC5"/>
    <w:rsid w:val="00770FCF"/>
    <w:rsid w:val="007715A8"/>
    <w:rsid w:val="0077173B"/>
    <w:rsid w:val="00771954"/>
    <w:rsid w:val="00771C2C"/>
    <w:rsid w:val="00771DF7"/>
    <w:rsid w:val="00772299"/>
    <w:rsid w:val="0077257B"/>
    <w:rsid w:val="00772A7E"/>
    <w:rsid w:val="00772B29"/>
    <w:rsid w:val="00772DCE"/>
    <w:rsid w:val="0077325C"/>
    <w:rsid w:val="00773439"/>
    <w:rsid w:val="0077382A"/>
    <w:rsid w:val="00773E46"/>
    <w:rsid w:val="00774127"/>
    <w:rsid w:val="00774B59"/>
    <w:rsid w:val="00774E90"/>
    <w:rsid w:val="007751AA"/>
    <w:rsid w:val="00775B3E"/>
    <w:rsid w:val="0077634D"/>
    <w:rsid w:val="00776378"/>
    <w:rsid w:val="0077642C"/>
    <w:rsid w:val="0077655C"/>
    <w:rsid w:val="00776A83"/>
    <w:rsid w:val="00777166"/>
    <w:rsid w:val="007772F3"/>
    <w:rsid w:val="00777631"/>
    <w:rsid w:val="0077783B"/>
    <w:rsid w:val="00777CE6"/>
    <w:rsid w:val="0078070F"/>
    <w:rsid w:val="007810D7"/>
    <w:rsid w:val="0078131F"/>
    <w:rsid w:val="00781773"/>
    <w:rsid w:val="007817C6"/>
    <w:rsid w:val="00781907"/>
    <w:rsid w:val="00782CA8"/>
    <w:rsid w:val="00782F4B"/>
    <w:rsid w:val="00782FE4"/>
    <w:rsid w:val="007830D4"/>
    <w:rsid w:val="007831E2"/>
    <w:rsid w:val="00783A2E"/>
    <w:rsid w:val="0078466C"/>
    <w:rsid w:val="00784C0A"/>
    <w:rsid w:val="007851EF"/>
    <w:rsid w:val="00785D18"/>
    <w:rsid w:val="00785D50"/>
    <w:rsid w:val="00785EFA"/>
    <w:rsid w:val="007863A8"/>
    <w:rsid w:val="00786546"/>
    <w:rsid w:val="00786633"/>
    <w:rsid w:val="00786760"/>
    <w:rsid w:val="0078686D"/>
    <w:rsid w:val="0078692A"/>
    <w:rsid w:val="00786BA9"/>
    <w:rsid w:val="0078718B"/>
    <w:rsid w:val="00787EA3"/>
    <w:rsid w:val="0079000D"/>
    <w:rsid w:val="0079021A"/>
    <w:rsid w:val="0079040D"/>
    <w:rsid w:val="00790671"/>
    <w:rsid w:val="007907AA"/>
    <w:rsid w:val="007909CD"/>
    <w:rsid w:val="00790F21"/>
    <w:rsid w:val="00791157"/>
    <w:rsid w:val="0079136A"/>
    <w:rsid w:val="00791469"/>
    <w:rsid w:val="00791511"/>
    <w:rsid w:val="007917A9"/>
    <w:rsid w:val="00791D32"/>
    <w:rsid w:val="0079212D"/>
    <w:rsid w:val="00792604"/>
    <w:rsid w:val="00792710"/>
    <w:rsid w:val="00792790"/>
    <w:rsid w:val="007928ED"/>
    <w:rsid w:val="00792925"/>
    <w:rsid w:val="007930BC"/>
    <w:rsid w:val="007931B0"/>
    <w:rsid w:val="00793274"/>
    <w:rsid w:val="007934FD"/>
    <w:rsid w:val="00793911"/>
    <w:rsid w:val="00793CA2"/>
    <w:rsid w:val="00793D56"/>
    <w:rsid w:val="00793EF2"/>
    <w:rsid w:val="0079405F"/>
    <w:rsid w:val="00794297"/>
    <w:rsid w:val="0079441F"/>
    <w:rsid w:val="00794B40"/>
    <w:rsid w:val="00794E9A"/>
    <w:rsid w:val="007951C4"/>
    <w:rsid w:val="007952AB"/>
    <w:rsid w:val="007952BE"/>
    <w:rsid w:val="007957D0"/>
    <w:rsid w:val="00795B08"/>
    <w:rsid w:val="00795D1F"/>
    <w:rsid w:val="00795F34"/>
    <w:rsid w:val="0079614D"/>
    <w:rsid w:val="0079644F"/>
    <w:rsid w:val="00796C87"/>
    <w:rsid w:val="00796DA1"/>
    <w:rsid w:val="007970CC"/>
    <w:rsid w:val="00797162"/>
    <w:rsid w:val="007972C6"/>
    <w:rsid w:val="007974AA"/>
    <w:rsid w:val="00797835"/>
    <w:rsid w:val="00797A0F"/>
    <w:rsid w:val="00797AF7"/>
    <w:rsid w:val="00797AFA"/>
    <w:rsid w:val="00797BB4"/>
    <w:rsid w:val="00797DA9"/>
    <w:rsid w:val="007A00D5"/>
    <w:rsid w:val="007A0281"/>
    <w:rsid w:val="007A0357"/>
    <w:rsid w:val="007A0398"/>
    <w:rsid w:val="007A0B07"/>
    <w:rsid w:val="007A1079"/>
    <w:rsid w:val="007A11B6"/>
    <w:rsid w:val="007A12A4"/>
    <w:rsid w:val="007A12D3"/>
    <w:rsid w:val="007A161A"/>
    <w:rsid w:val="007A2115"/>
    <w:rsid w:val="007A28E7"/>
    <w:rsid w:val="007A2F56"/>
    <w:rsid w:val="007A3686"/>
    <w:rsid w:val="007A371F"/>
    <w:rsid w:val="007A39A2"/>
    <w:rsid w:val="007A3FB3"/>
    <w:rsid w:val="007A3FDF"/>
    <w:rsid w:val="007A43B2"/>
    <w:rsid w:val="007A45AF"/>
    <w:rsid w:val="007A4C09"/>
    <w:rsid w:val="007A558E"/>
    <w:rsid w:val="007A5706"/>
    <w:rsid w:val="007A5713"/>
    <w:rsid w:val="007A5F82"/>
    <w:rsid w:val="007A60EC"/>
    <w:rsid w:val="007A620C"/>
    <w:rsid w:val="007A62B6"/>
    <w:rsid w:val="007A6787"/>
    <w:rsid w:val="007A6852"/>
    <w:rsid w:val="007A6BE2"/>
    <w:rsid w:val="007A6CB9"/>
    <w:rsid w:val="007A6FAB"/>
    <w:rsid w:val="007A7165"/>
    <w:rsid w:val="007A71CA"/>
    <w:rsid w:val="007A78B5"/>
    <w:rsid w:val="007A7992"/>
    <w:rsid w:val="007B0014"/>
    <w:rsid w:val="007B0163"/>
    <w:rsid w:val="007B0439"/>
    <w:rsid w:val="007B0591"/>
    <w:rsid w:val="007B05FC"/>
    <w:rsid w:val="007B0AFA"/>
    <w:rsid w:val="007B0CB8"/>
    <w:rsid w:val="007B143E"/>
    <w:rsid w:val="007B1457"/>
    <w:rsid w:val="007B1998"/>
    <w:rsid w:val="007B1C7A"/>
    <w:rsid w:val="007B2677"/>
    <w:rsid w:val="007B272F"/>
    <w:rsid w:val="007B2919"/>
    <w:rsid w:val="007B2A35"/>
    <w:rsid w:val="007B2E23"/>
    <w:rsid w:val="007B3574"/>
    <w:rsid w:val="007B3785"/>
    <w:rsid w:val="007B3E02"/>
    <w:rsid w:val="007B3F09"/>
    <w:rsid w:val="007B4099"/>
    <w:rsid w:val="007B4197"/>
    <w:rsid w:val="007B4427"/>
    <w:rsid w:val="007B515D"/>
    <w:rsid w:val="007B5A0E"/>
    <w:rsid w:val="007B60ED"/>
    <w:rsid w:val="007B617D"/>
    <w:rsid w:val="007B61ED"/>
    <w:rsid w:val="007B6322"/>
    <w:rsid w:val="007B635D"/>
    <w:rsid w:val="007B6A2C"/>
    <w:rsid w:val="007B6A4D"/>
    <w:rsid w:val="007B6F37"/>
    <w:rsid w:val="007B72A9"/>
    <w:rsid w:val="007B742E"/>
    <w:rsid w:val="007B76AB"/>
    <w:rsid w:val="007B7759"/>
    <w:rsid w:val="007B77C0"/>
    <w:rsid w:val="007B7C26"/>
    <w:rsid w:val="007B7D6F"/>
    <w:rsid w:val="007B7E23"/>
    <w:rsid w:val="007B7F6C"/>
    <w:rsid w:val="007C014F"/>
    <w:rsid w:val="007C02D4"/>
    <w:rsid w:val="007C044B"/>
    <w:rsid w:val="007C07D7"/>
    <w:rsid w:val="007C0817"/>
    <w:rsid w:val="007C0887"/>
    <w:rsid w:val="007C0AF6"/>
    <w:rsid w:val="007C0B29"/>
    <w:rsid w:val="007C0CF5"/>
    <w:rsid w:val="007C0DD0"/>
    <w:rsid w:val="007C0E47"/>
    <w:rsid w:val="007C11E6"/>
    <w:rsid w:val="007C1479"/>
    <w:rsid w:val="007C1628"/>
    <w:rsid w:val="007C1ECD"/>
    <w:rsid w:val="007C2414"/>
    <w:rsid w:val="007C25FC"/>
    <w:rsid w:val="007C2D82"/>
    <w:rsid w:val="007C2EB8"/>
    <w:rsid w:val="007C311E"/>
    <w:rsid w:val="007C31BD"/>
    <w:rsid w:val="007C335B"/>
    <w:rsid w:val="007C3DCE"/>
    <w:rsid w:val="007C4899"/>
    <w:rsid w:val="007C4B24"/>
    <w:rsid w:val="007C525D"/>
    <w:rsid w:val="007C5387"/>
    <w:rsid w:val="007C58FD"/>
    <w:rsid w:val="007C5CF4"/>
    <w:rsid w:val="007C611C"/>
    <w:rsid w:val="007C617D"/>
    <w:rsid w:val="007C6233"/>
    <w:rsid w:val="007C6237"/>
    <w:rsid w:val="007C627B"/>
    <w:rsid w:val="007C6961"/>
    <w:rsid w:val="007C69A9"/>
    <w:rsid w:val="007C6A9E"/>
    <w:rsid w:val="007C6BD8"/>
    <w:rsid w:val="007C6D03"/>
    <w:rsid w:val="007C6EAC"/>
    <w:rsid w:val="007C7837"/>
    <w:rsid w:val="007C7A53"/>
    <w:rsid w:val="007D0534"/>
    <w:rsid w:val="007D055E"/>
    <w:rsid w:val="007D07E2"/>
    <w:rsid w:val="007D0C23"/>
    <w:rsid w:val="007D0D86"/>
    <w:rsid w:val="007D1060"/>
    <w:rsid w:val="007D11BD"/>
    <w:rsid w:val="007D1828"/>
    <w:rsid w:val="007D1992"/>
    <w:rsid w:val="007D19F8"/>
    <w:rsid w:val="007D1C7E"/>
    <w:rsid w:val="007D1FDC"/>
    <w:rsid w:val="007D2170"/>
    <w:rsid w:val="007D2372"/>
    <w:rsid w:val="007D2407"/>
    <w:rsid w:val="007D24D4"/>
    <w:rsid w:val="007D2B26"/>
    <w:rsid w:val="007D2CE6"/>
    <w:rsid w:val="007D2D0D"/>
    <w:rsid w:val="007D33CD"/>
    <w:rsid w:val="007D3F27"/>
    <w:rsid w:val="007D3F2B"/>
    <w:rsid w:val="007D4824"/>
    <w:rsid w:val="007D4979"/>
    <w:rsid w:val="007D4B5B"/>
    <w:rsid w:val="007D4CA3"/>
    <w:rsid w:val="007D506D"/>
    <w:rsid w:val="007D512F"/>
    <w:rsid w:val="007D519D"/>
    <w:rsid w:val="007D51E8"/>
    <w:rsid w:val="007D55C1"/>
    <w:rsid w:val="007D592B"/>
    <w:rsid w:val="007D5AA6"/>
    <w:rsid w:val="007D5CB7"/>
    <w:rsid w:val="007D5D3F"/>
    <w:rsid w:val="007D5DA5"/>
    <w:rsid w:val="007D5DC3"/>
    <w:rsid w:val="007D5F99"/>
    <w:rsid w:val="007D62E8"/>
    <w:rsid w:val="007D6B84"/>
    <w:rsid w:val="007D6CE9"/>
    <w:rsid w:val="007D6D5B"/>
    <w:rsid w:val="007D7046"/>
    <w:rsid w:val="007D70F2"/>
    <w:rsid w:val="007D7358"/>
    <w:rsid w:val="007D7A91"/>
    <w:rsid w:val="007D7B68"/>
    <w:rsid w:val="007D7E23"/>
    <w:rsid w:val="007D7E4F"/>
    <w:rsid w:val="007E0477"/>
    <w:rsid w:val="007E060E"/>
    <w:rsid w:val="007E06EE"/>
    <w:rsid w:val="007E0A0F"/>
    <w:rsid w:val="007E0C0C"/>
    <w:rsid w:val="007E0D14"/>
    <w:rsid w:val="007E1607"/>
    <w:rsid w:val="007E1641"/>
    <w:rsid w:val="007E1790"/>
    <w:rsid w:val="007E17D5"/>
    <w:rsid w:val="007E1AB7"/>
    <w:rsid w:val="007E2046"/>
    <w:rsid w:val="007E253D"/>
    <w:rsid w:val="007E2A31"/>
    <w:rsid w:val="007E2BA7"/>
    <w:rsid w:val="007E2F09"/>
    <w:rsid w:val="007E33FD"/>
    <w:rsid w:val="007E342F"/>
    <w:rsid w:val="007E34D2"/>
    <w:rsid w:val="007E3754"/>
    <w:rsid w:val="007E3B0D"/>
    <w:rsid w:val="007E3BE4"/>
    <w:rsid w:val="007E3BEC"/>
    <w:rsid w:val="007E3FFA"/>
    <w:rsid w:val="007E50E1"/>
    <w:rsid w:val="007E5118"/>
    <w:rsid w:val="007E5347"/>
    <w:rsid w:val="007E5888"/>
    <w:rsid w:val="007E5A65"/>
    <w:rsid w:val="007E6456"/>
    <w:rsid w:val="007E64D2"/>
    <w:rsid w:val="007E6D15"/>
    <w:rsid w:val="007E6FDF"/>
    <w:rsid w:val="007E75CD"/>
    <w:rsid w:val="007E7C7F"/>
    <w:rsid w:val="007E7DAE"/>
    <w:rsid w:val="007E7FDC"/>
    <w:rsid w:val="007F018F"/>
    <w:rsid w:val="007F0525"/>
    <w:rsid w:val="007F08E2"/>
    <w:rsid w:val="007F1272"/>
    <w:rsid w:val="007F14E1"/>
    <w:rsid w:val="007F198F"/>
    <w:rsid w:val="007F1C80"/>
    <w:rsid w:val="007F1D72"/>
    <w:rsid w:val="007F1DA9"/>
    <w:rsid w:val="007F1FF7"/>
    <w:rsid w:val="007F217A"/>
    <w:rsid w:val="007F2595"/>
    <w:rsid w:val="007F269F"/>
    <w:rsid w:val="007F2752"/>
    <w:rsid w:val="007F2E36"/>
    <w:rsid w:val="007F2F04"/>
    <w:rsid w:val="007F30F6"/>
    <w:rsid w:val="007F3190"/>
    <w:rsid w:val="007F319F"/>
    <w:rsid w:val="007F3705"/>
    <w:rsid w:val="007F3DB5"/>
    <w:rsid w:val="007F3FB2"/>
    <w:rsid w:val="007F41A1"/>
    <w:rsid w:val="007F4504"/>
    <w:rsid w:val="007F48B4"/>
    <w:rsid w:val="007F50C7"/>
    <w:rsid w:val="007F57C4"/>
    <w:rsid w:val="007F57CF"/>
    <w:rsid w:val="007F58BA"/>
    <w:rsid w:val="007F5ACA"/>
    <w:rsid w:val="007F5F7A"/>
    <w:rsid w:val="007F6741"/>
    <w:rsid w:val="007F6836"/>
    <w:rsid w:val="007F6C70"/>
    <w:rsid w:val="007F7C16"/>
    <w:rsid w:val="0080004A"/>
    <w:rsid w:val="008006BD"/>
    <w:rsid w:val="00800CAF"/>
    <w:rsid w:val="00800F2C"/>
    <w:rsid w:val="008012B2"/>
    <w:rsid w:val="008017A1"/>
    <w:rsid w:val="00801FAF"/>
    <w:rsid w:val="00802012"/>
    <w:rsid w:val="0080214D"/>
    <w:rsid w:val="00802480"/>
    <w:rsid w:val="00802958"/>
    <w:rsid w:val="00802CC1"/>
    <w:rsid w:val="0080335B"/>
    <w:rsid w:val="00803D17"/>
    <w:rsid w:val="00803DE4"/>
    <w:rsid w:val="00803E66"/>
    <w:rsid w:val="00803EB6"/>
    <w:rsid w:val="008042A5"/>
    <w:rsid w:val="00804AFF"/>
    <w:rsid w:val="00804D90"/>
    <w:rsid w:val="0080567D"/>
    <w:rsid w:val="00805A85"/>
    <w:rsid w:val="00805F1D"/>
    <w:rsid w:val="00805F28"/>
    <w:rsid w:val="00805F5B"/>
    <w:rsid w:val="008069DB"/>
    <w:rsid w:val="00806A42"/>
    <w:rsid w:val="00806B20"/>
    <w:rsid w:val="00806CFD"/>
    <w:rsid w:val="00807024"/>
    <w:rsid w:val="00807130"/>
    <w:rsid w:val="00807459"/>
    <w:rsid w:val="008077B3"/>
    <w:rsid w:val="008104C7"/>
    <w:rsid w:val="0081093B"/>
    <w:rsid w:val="00810CFE"/>
    <w:rsid w:val="00811207"/>
    <w:rsid w:val="008114BE"/>
    <w:rsid w:val="00811509"/>
    <w:rsid w:val="008116C5"/>
    <w:rsid w:val="008117EF"/>
    <w:rsid w:val="008117FF"/>
    <w:rsid w:val="008118C7"/>
    <w:rsid w:val="00811943"/>
    <w:rsid w:val="00812068"/>
    <w:rsid w:val="008122AF"/>
    <w:rsid w:val="00812472"/>
    <w:rsid w:val="00812515"/>
    <w:rsid w:val="00812B58"/>
    <w:rsid w:val="00813451"/>
    <w:rsid w:val="008137D7"/>
    <w:rsid w:val="0081386E"/>
    <w:rsid w:val="00813BC6"/>
    <w:rsid w:val="00813EDA"/>
    <w:rsid w:val="00813F32"/>
    <w:rsid w:val="008142FE"/>
    <w:rsid w:val="008143D9"/>
    <w:rsid w:val="008144D1"/>
    <w:rsid w:val="008146C2"/>
    <w:rsid w:val="00814FE4"/>
    <w:rsid w:val="0081507C"/>
    <w:rsid w:val="00815081"/>
    <w:rsid w:val="0081562F"/>
    <w:rsid w:val="008157B9"/>
    <w:rsid w:val="00815840"/>
    <w:rsid w:val="0081586A"/>
    <w:rsid w:val="00816295"/>
    <w:rsid w:val="008165A9"/>
    <w:rsid w:val="008165CD"/>
    <w:rsid w:val="008165D5"/>
    <w:rsid w:val="00816983"/>
    <w:rsid w:val="00816B7A"/>
    <w:rsid w:val="00816C72"/>
    <w:rsid w:val="00817696"/>
    <w:rsid w:val="008176FE"/>
    <w:rsid w:val="00817A82"/>
    <w:rsid w:val="00817FDC"/>
    <w:rsid w:val="00820518"/>
    <w:rsid w:val="008205CE"/>
    <w:rsid w:val="008209FE"/>
    <w:rsid w:val="00820AC8"/>
    <w:rsid w:val="00820B58"/>
    <w:rsid w:val="00821011"/>
    <w:rsid w:val="008210AD"/>
    <w:rsid w:val="00821213"/>
    <w:rsid w:val="00821B95"/>
    <w:rsid w:val="00821C82"/>
    <w:rsid w:val="00821DD9"/>
    <w:rsid w:val="008223A3"/>
    <w:rsid w:val="00822EC2"/>
    <w:rsid w:val="0082303E"/>
    <w:rsid w:val="00823271"/>
    <w:rsid w:val="00823798"/>
    <w:rsid w:val="00823867"/>
    <w:rsid w:val="00823D7C"/>
    <w:rsid w:val="00824137"/>
    <w:rsid w:val="008243F2"/>
    <w:rsid w:val="008245B5"/>
    <w:rsid w:val="00824D58"/>
    <w:rsid w:val="00825A26"/>
    <w:rsid w:val="00826115"/>
    <w:rsid w:val="008263DD"/>
    <w:rsid w:val="008265BD"/>
    <w:rsid w:val="008266C7"/>
    <w:rsid w:val="008273E0"/>
    <w:rsid w:val="00827888"/>
    <w:rsid w:val="008278A2"/>
    <w:rsid w:val="008279E6"/>
    <w:rsid w:val="00827E18"/>
    <w:rsid w:val="0083004C"/>
    <w:rsid w:val="00830502"/>
    <w:rsid w:val="00830E0C"/>
    <w:rsid w:val="008311B8"/>
    <w:rsid w:val="0083187D"/>
    <w:rsid w:val="00831A7F"/>
    <w:rsid w:val="00831AAB"/>
    <w:rsid w:val="00831B18"/>
    <w:rsid w:val="00831C33"/>
    <w:rsid w:val="00831C3E"/>
    <w:rsid w:val="00832363"/>
    <w:rsid w:val="008327BE"/>
    <w:rsid w:val="00832866"/>
    <w:rsid w:val="0083287E"/>
    <w:rsid w:val="00832981"/>
    <w:rsid w:val="00832CBD"/>
    <w:rsid w:val="00833112"/>
    <w:rsid w:val="00833BCA"/>
    <w:rsid w:val="00833BD2"/>
    <w:rsid w:val="00834243"/>
    <w:rsid w:val="0083430C"/>
    <w:rsid w:val="0083442E"/>
    <w:rsid w:val="00834774"/>
    <w:rsid w:val="0083485A"/>
    <w:rsid w:val="00834A40"/>
    <w:rsid w:val="00834BBC"/>
    <w:rsid w:val="00834C10"/>
    <w:rsid w:val="00835030"/>
    <w:rsid w:val="0083567E"/>
    <w:rsid w:val="008357CB"/>
    <w:rsid w:val="0083597C"/>
    <w:rsid w:val="00835BA0"/>
    <w:rsid w:val="008363E7"/>
    <w:rsid w:val="008364F3"/>
    <w:rsid w:val="0083659B"/>
    <w:rsid w:val="00836A3F"/>
    <w:rsid w:val="00836C91"/>
    <w:rsid w:val="008370EB"/>
    <w:rsid w:val="008371EA"/>
    <w:rsid w:val="008375B8"/>
    <w:rsid w:val="00837647"/>
    <w:rsid w:val="00837AF5"/>
    <w:rsid w:val="0084002F"/>
    <w:rsid w:val="00840145"/>
    <w:rsid w:val="0084015A"/>
    <w:rsid w:val="008406DF"/>
    <w:rsid w:val="00840AA9"/>
    <w:rsid w:val="00840E20"/>
    <w:rsid w:val="0084104A"/>
    <w:rsid w:val="008410E6"/>
    <w:rsid w:val="00841603"/>
    <w:rsid w:val="0084184C"/>
    <w:rsid w:val="00841C92"/>
    <w:rsid w:val="00841C95"/>
    <w:rsid w:val="00842081"/>
    <w:rsid w:val="008422AA"/>
    <w:rsid w:val="008422FD"/>
    <w:rsid w:val="008423BB"/>
    <w:rsid w:val="00842C6E"/>
    <w:rsid w:val="00842ED7"/>
    <w:rsid w:val="00842FBE"/>
    <w:rsid w:val="00843287"/>
    <w:rsid w:val="0084398F"/>
    <w:rsid w:val="00843DB0"/>
    <w:rsid w:val="00843EBA"/>
    <w:rsid w:val="00844007"/>
    <w:rsid w:val="0084430D"/>
    <w:rsid w:val="00844351"/>
    <w:rsid w:val="00844C3B"/>
    <w:rsid w:val="00844CC0"/>
    <w:rsid w:val="00844D6B"/>
    <w:rsid w:val="00844DEF"/>
    <w:rsid w:val="00844E31"/>
    <w:rsid w:val="00844FA7"/>
    <w:rsid w:val="00845021"/>
    <w:rsid w:val="00845BFB"/>
    <w:rsid w:val="00845C63"/>
    <w:rsid w:val="00845DCA"/>
    <w:rsid w:val="00845E7F"/>
    <w:rsid w:val="00845EF2"/>
    <w:rsid w:val="00845FFD"/>
    <w:rsid w:val="0084618A"/>
    <w:rsid w:val="0084641C"/>
    <w:rsid w:val="00846777"/>
    <w:rsid w:val="00846920"/>
    <w:rsid w:val="008471D1"/>
    <w:rsid w:val="00850091"/>
    <w:rsid w:val="00850117"/>
    <w:rsid w:val="00850295"/>
    <w:rsid w:val="0085078E"/>
    <w:rsid w:val="00850CBF"/>
    <w:rsid w:val="00850D77"/>
    <w:rsid w:val="00850F70"/>
    <w:rsid w:val="008514CC"/>
    <w:rsid w:val="00851569"/>
    <w:rsid w:val="00851803"/>
    <w:rsid w:val="00851CE6"/>
    <w:rsid w:val="00851DB3"/>
    <w:rsid w:val="00852206"/>
    <w:rsid w:val="0085230E"/>
    <w:rsid w:val="00852578"/>
    <w:rsid w:val="0085259C"/>
    <w:rsid w:val="008528B8"/>
    <w:rsid w:val="008528C8"/>
    <w:rsid w:val="0085298B"/>
    <w:rsid w:val="008529DE"/>
    <w:rsid w:val="00852AED"/>
    <w:rsid w:val="00853415"/>
    <w:rsid w:val="008537B7"/>
    <w:rsid w:val="0085381F"/>
    <w:rsid w:val="0085387A"/>
    <w:rsid w:val="00853A28"/>
    <w:rsid w:val="00853AB3"/>
    <w:rsid w:val="00853CF2"/>
    <w:rsid w:val="00853EC8"/>
    <w:rsid w:val="008541B2"/>
    <w:rsid w:val="00854A26"/>
    <w:rsid w:val="00854D1B"/>
    <w:rsid w:val="00855353"/>
    <w:rsid w:val="008554D4"/>
    <w:rsid w:val="0085558F"/>
    <w:rsid w:val="008555D7"/>
    <w:rsid w:val="0085659E"/>
    <w:rsid w:val="0085675D"/>
    <w:rsid w:val="00856D42"/>
    <w:rsid w:val="00856DA4"/>
    <w:rsid w:val="0085702D"/>
    <w:rsid w:val="00857101"/>
    <w:rsid w:val="00857146"/>
    <w:rsid w:val="00857707"/>
    <w:rsid w:val="00857969"/>
    <w:rsid w:val="00857CF7"/>
    <w:rsid w:val="00857D30"/>
    <w:rsid w:val="00857E91"/>
    <w:rsid w:val="00860193"/>
    <w:rsid w:val="0086067A"/>
    <w:rsid w:val="00860BC8"/>
    <w:rsid w:val="00860BFE"/>
    <w:rsid w:val="00860D1A"/>
    <w:rsid w:val="00861201"/>
    <w:rsid w:val="008613C1"/>
    <w:rsid w:val="00861891"/>
    <w:rsid w:val="00861BD3"/>
    <w:rsid w:val="00862249"/>
    <w:rsid w:val="008627D3"/>
    <w:rsid w:val="00862D8A"/>
    <w:rsid w:val="008630E4"/>
    <w:rsid w:val="00863180"/>
    <w:rsid w:val="00864BEA"/>
    <w:rsid w:val="00864C2A"/>
    <w:rsid w:val="00864C8B"/>
    <w:rsid w:val="00865478"/>
    <w:rsid w:val="00865B5A"/>
    <w:rsid w:val="00866113"/>
    <w:rsid w:val="00866138"/>
    <w:rsid w:val="0086642B"/>
    <w:rsid w:val="0086690C"/>
    <w:rsid w:val="00866A0A"/>
    <w:rsid w:val="00866AE3"/>
    <w:rsid w:val="0086711D"/>
    <w:rsid w:val="008673B9"/>
    <w:rsid w:val="00867607"/>
    <w:rsid w:val="00867AE6"/>
    <w:rsid w:val="00870227"/>
    <w:rsid w:val="008709F2"/>
    <w:rsid w:val="00870A8E"/>
    <w:rsid w:val="00871014"/>
    <w:rsid w:val="008711DE"/>
    <w:rsid w:val="008713BD"/>
    <w:rsid w:val="008713D6"/>
    <w:rsid w:val="00871727"/>
    <w:rsid w:val="00871C8E"/>
    <w:rsid w:val="00871F48"/>
    <w:rsid w:val="0087242E"/>
    <w:rsid w:val="00872474"/>
    <w:rsid w:val="00872699"/>
    <w:rsid w:val="00872C32"/>
    <w:rsid w:val="00872C9B"/>
    <w:rsid w:val="008732F5"/>
    <w:rsid w:val="0087332D"/>
    <w:rsid w:val="008733BA"/>
    <w:rsid w:val="008745E6"/>
    <w:rsid w:val="0087478A"/>
    <w:rsid w:val="008748C8"/>
    <w:rsid w:val="0087502F"/>
    <w:rsid w:val="008752D6"/>
    <w:rsid w:val="0087586C"/>
    <w:rsid w:val="00875AE4"/>
    <w:rsid w:val="008762FC"/>
    <w:rsid w:val="008762FE"/>
    <w:rsid w:val="00876547"/>
    <w:rsid w:val="0087694D"/>
    <w:rsid w:val="00877211"/>
    <w:rsid w:val="00877A10"/>
    <w:rsid w:val="00877CED"/>
    <w:rsid w:val="008806D8"/>
    <w:rsid w:val="008808E2"/>
    <w:rsid w:val="00880AC3"/>
    <w:rsid w:val="00880CA1"/>
    <w:rsid w:val="00880EF9"/>
    <w:rsid w:val="008811DD"/>
    <w:rsid w:val="00881411"/>
    <w:rsid w:val="0088175B"/>
    <w:rsid w:val="00881EA7"/>
    <w:rsid w:val="00881F43"/>
    <w:rsid w:val="00881F95"/>
    <w:rsid w:val="00882277"/>
    <w:rsid w:val="0088228C"/>
    <w:rsid w:val="0088280D"/>
    <w:rsid w:val="00882C71"/>
    <w:rsid w:val="00882CC4"/>
    <w:rsid w:val="00882F1C"/>
    <w:rsid w:val="00883177"/>
    <w:rsid w:val="008832D4"/>
    <w:rsid w:val="008835B0"/>
    <w:rsid w:val="00883798"/>
    <w:rsid w:val="00883C57"/>
    <w:rsid w:val="00884068"/>
    <w:rsid w:val="008844AC"/>
    <w:rsid w:val="0088450F"/>
    <w:rsid w:val="00884B39"/>
    <w:rsid w:val="00884B60"/>
    <w:rsid w:val="00884DBC"/>
    <w:rsid w:val="00884F6A"/>
    <w:rsid w:val="0088523B"/>
    <w:rsid w:val="008857C1"/>
    <w:rsid w:val="00885A82"/>
    <w:rsid w:val="00885A94"/>
    <w:rsid w:val="008862F3"/>
    <w:rsid w:val="0088689B"/>
    <w:rsid w:val="00886A30"/>
    <w:rsid w:val="00886AB0"/>
    <w:rsid w:val="00886B59"/>
    <w:rsid w:val="00886C07"/>
    <w:rsid w:val="00886C1A"/>
    <w:rsid w:val="00887959"/>
    <w:rsid w:val="00887A74"/>
    <w:rsid w:val="00887B20"/>
    <w:rsid w:val="00887E04"/>
    <w:rsid w:val="0089015E"/>
    <w:rsid w:val="0089021E"/>
    <w:rsid w:val="008908D4"/>
    <w:rsid w:val="008909C2"/>
    <w:rsid w:val="008909D5"/>
    <w:rsid w:val="00890AB3"/>
    <w:rsid w:val="0089101A"/>
    <w:rsid w:val="008918DF"/>
    <w:rsid w:val="008919A0"/>
    <w:rsid w:val="00892065"/>
    <w:rsid w:val="008923BB"/>
    <w:rsid w:val="008929AF"/>
    <w:rsid w:val="00892EF3"/>
    <w:rsid w:val="00893BF3"/>
    <w:rsid w:val="00893DF1"/>
    <w:rsid w:val="00893FE2"/>
    <w:rsid w:val="008940CB"/>
    <w:rsid w:val="00894223"/>
    <w:rsid w:val="008945AF"/>
    <w:rsid w:val="008954FB"/>
    <w:rsid w:val="00895D2E"/>
    <w:rsid w:val="00896290"/>
    <w:rsid w:val="00896454"/>
    <w:rsid w:val="00896852"/>
    <w:rsid w:val="00896995"/>
    <w:rsid w:val="00896DF1"/>
    <w:rsid w:val="00896E86"/>
    <w:rsid w:val="00896E9F"/>
    <w:rsid w:val="00897631"/>
    <w:rsid w:val="00897A17"/>
    <w:rsid w:val="00897AB0"/>
    <w:rsid w:val="00897ABC"/>
    <w:rsid w:val="008A00A0"/>
    <w:rsid w:val="008A0655"/>
    <w:rsid w:val="008A0697"/>
    <w:rsid w:val="008A0AB8"/>
    <w:rsid w:val="008A0B53"/>
    <w:rsid w:val="008A0D6F"/>
    <w:rsid w:val="008A0F16"/>
    <w:rsid w:val="008A1231"/>
    <w:rsid w:val="008A1366"/>
    <w:rsid w:val="008A1CB5"/>
    <w:rsid w:val="008A2047"/>
    <w:rsid w:val="008A2061"/>
    <w:rsid w:val="008A2CBD"/>
    <w:rsid w:val="008A2CD6"/>
    <w:rsid w:val="008A2E0A"/>
    <w:rsid w:val="008A322D"/>
    <w:rsid w:val="008A32A8"/>
    <w:rsid w:val="008A35BB"/>
    <w:rsid w:val="008A368F"/>
    <w:rsid w:val="008A3706"/>
    <w:rsid w:val="008A3A2F"/>
    <w:rsid w:val="008A3B3C"/>
    <w:rsid w:val="008A3B59"/>
    <w:rsid w:val="008A3D64"/>
    <w:rsid w:val="008A425A"/>
    <w:rsid w:val="008A462D"/>
    <w:rsid w:val="008A46DC"/>
    <w:rsid w:val="008A4A12"/>
    <w:rsid w:val="008A4D06"/>
    <w:rsid w:val="008A5409"/>
    <w:rsid w:val="008A542D"/>
    <w:rsid w:val="008A57B3"/>
    <w:rsid w:val="008A5932"/>
    <w:rsid w:val="008A59A8"/>
    <w:rsid w:val="008A67A9"/>
    <w:rsid w:val="008A6A12"/>
    <w:rsid w:val="008A6E41"/>
    <w:rsid w:val="008A746C"/>
    <w:rsid w:val="008A75FD"/>
    <w:rsid w:val="008A792B"/>
    <w:rsid w:val="008A7C08"/>
    <w:rsid w:val="008A7CBE"/>
    <w:rsid w:val="008B02B8"/>
    <w:rsid w:val="008B0580"/>
    <w:rsid w:val="008B08E0"/>
    <w:rsid w:val="008B0CAB"/>
    <w:rsid w:val="008B100C"/>
    <w:rsid w:val="008B1213"/>
    <w:rsid w:val="008B1558"/>
    <w:rsid w:val="008B1723"/>
    <w:rsid w:val="008B19F5"/>
    <w:rsid w:val="008B1A30"/>
    <w:rsid w:val="008B1C9A"/>
    <w:rsid w:val="008B1DD9"/>
    <w:rsid w:val="008B2834"/>
    <w:rsid w:val="008B29E5"/>
    <w:rsid w:val="008B2A05"/>
    <w:rsid w:val="008B2B08"/>
    <w:rsid w:val="008B2B25"/>
    <w:rsid w:val="008B3354"/>
    <w:rsid w:val="008B3A73"/>
    <w:rsid w:val="008B3ACE"/>
    <w:rsid w:val="008B3DCE"/>
    <w:rsid w:val="008B4511"/>
    <w:rsid w:val="008B453D"/>
    <w:rsid w:val="008B455F"/>
    <w:rsid w:val="008B48B1"/>
    <w:rsid w:val="008B4918"/>
    <w:rsid w:val="008B49BB"/>
    <w:rsid w:val="008B4A3B"/>
    <w:rsid w:val="008B4C3A"/>
    <w:rsid w:val="008B4E82"/>
    <w:rsid w:val="008B549C"/>
    <w:rsid w:val="008B5686"/>
    <w:rsid w:val="008B5C6D"/>
    <w:rsid w:val="008B5E5B"/>
    <w:rsid w:val="008B5F0A"/>
    <w:rsid w:val="008B5F24"/>
    <w:rsid w:val="008B67F9"/>
    <w:rsid w:val="008B6BDC"/>
    <w:rsid w:val="008B6CA8"/>
    <w:rsid w:val="008B6E37"/>
    <w:rsid w:val="008B71C0"/>
    <w:rsid w:val="008B71C4"/>
    <w:rsid w:val="008B752B"/>
    <w:rsid w:val="008B7728"/>
    <w:rsid w:val="008B7A8B"/>
    <w:rsid w:val="008C01B1"/>
    <w:rsid w:val="008C07CD"/>
    <w:rsid w:val="008C099F"/>
    <w:rsid w:val="008C0C19"/>
    <w:rsid w:val="008C0D51"/>
    <w:rsid w:val="008C1261"/>
    <w:rsid w:val="008C1361"/>
    <w:rsid w:val="008C15ED"/>
    <w:rsid w:val="008C1703"/>
    <w:rsid w:val="008C19B1"/>
    <w:rsid w:val="008C19E6"/>
    <w:rsid w:val="008C1A41"/>
    <w:rsid w:val="008C1CA6"/>
    <w:rsid w:val="008C1EBA"/>
    <w:rsid w:val="008C209C"/>
    <w:rsid w:val="008C242A"/>
    <w:rsid w:val="008C25D8"/>
    <w:rsid w:val="008C2760"/>
    <w:rsid w:val="008C2D14"/>
    <w:rsid w:val="008C3A36"/>
    <w:rsid w:val="008C3BBE"/>
    <w:rsid w:val="008C3E86"/>
    <w:rsid w:val="008C425E"/>
    <w:rsid w:val="008C428E"/>
    <w:rsid w:val="008C439D"/>
    <w:rsid w:val="008C45A7"/>
    <w:rsid w:val="008C46C0"/>
    <w:rsid w:val="008C4B20"/>
    <w:rsid w:val="008C4CDA"/>
    <w:rsid w:val="008C4DB9"/>
    <w:rsid w:val="008C5123"/>
    <w:rsid w:val="008C5241"/>
    <w:rsid w:val="008C5355"/>
    <w:rsid w:val="008C5511"/>
    <w:rsid w:val="008C5577"/>
    <w:rsid w:val="008C6428"/>
    <w:rsid w:val="008C7C45"/>
    <w:rsid w:val="008C7F71"/>
    <w:rsid w:val="008D0235"/>
    <w:rsid w:val="008D02DE"/>
    <w:rsid w:val="008D04ED"/>
    <w:rsid w:val="008D05DE"/>
    <w:rsid w:val="008D0812"/>
    <w:rsid w:val="008D0FB2"/>
    <w:rsid w:val="008D0FE0"/>
    <w:rsid w:val="008D13ED"/>
    <w:rsid w:val="008D1602"/>
    <w:rsid w:val="008D179C"/>
    <w:rsid w:val="008D182F"/>
    <w:rsid w:val="008D1875"/>
    <w:rsid w:val="008D19D0"/>
    <w:rsid w:val="008D1AE8"/>
    <w:rsid w:val="008D211F"/>
    <w:rsid w:val="008D213C"/>
    <w:rsid w:val="008D2773"/>
    <w:rsid w:val="008D2C1B"/>
    <w:rsid w:val="008D2E63"/>
    <w:rsid w:val="008D2F6F"/>
    <w:rsid w:val="008D339F"/>
    <w:rsid w:val="008D35B5"/>
    <w:rsid w:val="008D369B"/>
    <w:rsid w:val="008D3750"/>
    <w:rsid w:val="008D38AE"/>
    <w:rsid w:val="008D3A5D"/>
    <w:rsid w:val="008D3B05"/>
    <w:rsid w:val="008D3EAF"/>
    <w:rsid w:val="008D4145"/>
    <w:rsid w:val="008D432A"/>
    <w:rsid w:val="008D4401"/>
    <w:rsid w:val="008D4BD8"/>
    <w:rsid w:val="008D4C43"/>
    <w:rsid w:val="008D4D49"/>
    <w:rsid w:val="008D4DEB"/>
    <w:rsid w:val="008D50D3"/>
    <w:rsid w:val="008D56DD"/>
    <w:rsid w:val="008D5BFE"/>
    <w:rsid w:val="008D63CA"/>
    <w:rsid w:val="008D649A"/>
    <w:rsid w:val="008D6778"/>
    <w:rsid w:val="008D6A07"/>
    <w:rsid w:val="008D6FA7"/>
    <w:rsid w:val="008D72AA"/>
    <w:rsid w:val="008D7401"/>
    <w:rsid w:val="008D74D3"/>
    <w:rsid w:val="008D7A69"/>
    <w:rsid w:val="008D7C2C"/>
    <w:rsid w:val="008E0923"/>
    <w:rsid w:val="008E0BD6"/>
    <w:rsid w:val="008E0EBD"/>
    <w:rsid w:val="008E1146"/>
    <w:rsid w:val="008E140F"/>
    <w:rsid w:val="008E2857"/>
    <w:rsid w:val="008E2F1C"/>
    <w:rsid w:val="008E2F79"/>
    <w:rsid w:val="008E3021"/>
    <w:rsid w:val="008E386F"/>
    <w:rsid w:val="008E3D3C"/>
    <w:rsid w:val="008E3FD2"/>
    <w:rsid w:val="008E461B"/>
    <w:rsid w:val="008E50AB"/>
    <w:rsid w:val="008E56BA"/>
    <w:rsid w:val="008E5C22"/>
    <w:rsid w:val="008E5F35"/>
    <w:rsid w:val="008E6179"/>
    <w:rsid w:val="008E6292"/>
    <w:rsid w:val="008E6378"/>
    <w:rsid w:val="008E648D"/>
    <w:rsid w:val="008E6CE2"/>
    <w:rsid w:val="008E6DE6"/>
    <w:rsid w:val="008E74A6"/>
    <w:rsid w:val="008E76F4"/>
    <w:rsid w:val="008E7AD8"/>
    <w:rsid w:val="008E7CD2"/>
    <w:rsid w:val="008F069C"/>
    <w:rsid w:val="008F0914"/>
    <w:rsid w:val="008F09CB"/>
    <w:rsid w:val="008F0BA0"/>
    <w:rsid w:val="008F13D9"/>
    <w:rsid w:val="008F18FB"/>
    <w:rsid w:val="008F1EB9"/>
    <w:rsid w:val="008F23EB"/>
    <w:rsid w:val="008F2488"/>
    <w:rsid w:val="008F2734"/>
    <w:rsid w:val="008F2875"/>
    <w:rsid w:val="008F28D8"/>
    <w:rsid w:val="008F2B09"/>
    <w:rsid w:val="008F2B7C"/>
    <w:rsid w:val="008F304E"/>
    <w:rsid w:val="008F3207"/>
    <w:rsid w:val="008F326E"/>
    <w:rsid w:val="008F4388"/>
    <w:rsid w:val="008F448C"/>
    <w:rsid w:val="008F4693"/>
    <w:rsid w:val="008F4808"/>
    <w:rsid w:val="008F4BBD"/>
    <w:rsid w:val="008F556D"/>
    <w:rsid w:val="008F55F6"/>
    <w:rsid w:val="008F5D85"/>
    <w:rsid w:val="008F5FD9"/>
    <w:rsid w:val="008F6021"/>
    <w:rsid w:val="008F6195"/>
    <w:rsid w:val="008F641A"/>
    <w:rsid w:val="008F67A7"/>
    <w:rsid w:val="008F6C21"/>
    <w:rsid w:val="008F6D8F"/>
    <w:rsid w:val="008F7940"/>
    <w:rsid w:val="008F7E09"/>
    <w:rsid w:val="008F7F69"/>
    <w:rsid w:val="009000F5"/>
    <w:rsid w:val="009001C9"/>
    <w:rsid w:val="009009E0"/>
    <w:rsid w:val="00900A76"/>
    <w:rsid w:val="00901051"/>
    <w:rsid w:val="009010F0"/>
    <w:rsid w:val="00901331"/>
    <w:rsid w:val="009019EA"/>
    <w:rsid w:val="00901FE9"/>
    <w:rsid w:val="00902311"/>
    <w:rsid w:val="00902343"/>
    <w:rsid w:val="00902344"/>
    <w:rsid w:val="00902593"/>
    <w:rsid w:val="009026B8"/>
    <w:rsid w:val="009026CF"/>
    <w:rsid w:val="009026DF"/>
    <w:rsid w:val="00902B9C"/>
    <w:rsid w:val="00902DA1"/>
    <w:rsid w:val="0090309D"/>
    <w:rsid w:val="009030B0"/>
    <w:rsid w:val="00903B58"/>
    <w:rsid w:val="0090450C"/>
    <w:rsid w:val="00904D87"/>
    <w:rsid w:val="00905DA8"/>
    <w:rsid w:val="00905F9D"/>
    <w:rsid w:val="009064A0"/>
    <w:rsid w:val="0090681E"/>
    <w:rsid w:val="00906B70"/>
    <w:rsid w:val="00906E21"/>
    <w:rsid w:val="00906F49"/>
    <w:rsid w:val="00907845"/>
    <w:rsid w:val="00907AD4"/>
    <w:rsid w:val="00907CA2"/>
    <w:rsid w:val="009100E3"/>
    <w:rsid w:val="00910422"/>
    <w:rsid w:val="009104EF"/>
    <w:rsid w:val="00910559"/>
    <w:rsid w:val="0091070B"/>
    <w:rsid w:val="00910734"/>
    <w:rsid w:val="009107B6"/>
    <w:rsid w:val="00910A6C"/>
    <w:rsid w:val="009110AB"/>
    <w:rsid w:val="009110CA"/>
    <w:rsid w:val="00911877"/>
    <w:rsid w:val="009119A2"/>
    <w:rsid w:val="00911BA8"/>
    <w:rsid w:val="0091240E"/>
    <w:rsid w:val="00912FE0"/>
    <w:rsid w:val="00913157"/>
    <w:rsid w:val="00913553"/>
    <w:rsid w:val="00913865"/>
    <w:rsid w:val="009141E4"/>
    <w:rsid w:val="009142BC"/>
    <w:rsid w:val="0091444F"/>
    <w:rsid w:val="009148C7"/>
    <w:rsid w:val="00914B58"/>
    <w:rsid w:val="00914C2F"/>
    <w:rsid w:val="00915258"/>
    <w:rsid w:val="00915271"/>
    <w:rsid w:val="009152A7"/>
    <w:rsid w:val="0091554A"/>
    <w:rsid w:val="009155B7"/>
    <w:rsid w:val="0091560A"/>
    <w:rsid w:val="00915955"/>
    <w:rsid w:val="00915BE0"/>
    <w:rsid w:val="00916815"/>
    <w:rsid w:val="00916CD1"/>
    <w:rsid w:val="00917052"/>
    <w:rsid w:val="0091757D"/>
    <w:rsid w:val="00917614"/>
    <w:rsid w:val="00917734"/>
    <w:rsid w:val="009177CE"/>
    <w:rsid w:val="00917A17"/>
    <w:rsid w:val="00917CB0"/>
    <w:rsid w:val="00917E28"/>
    <w:rsid w:val="00920008"/>
    <w:rsid w:val="00920270"/>
    <w:rsid w:val="00920554"/>
    <w:rsid w:val="00920726"/>
    <w:rsid w:val="00920EEC"/>
    <w:rsid w:val="00920FC8"/>
    <w:rsid w:val="0092111D"/>
    <w:rsid w:val="00921599"/>
    <w:rsid w:val="009216CB"/>
    <w:rsid w:val="0092172C"/>
    <w:rsid w:val="009217A6"/>
    <w:rsid w:val="009218C1"/>
    <w:rsid w:val="009219EF"/>
    <w:rsid w:val="00921D75"/>
    <w:rsid w:val="00921EE9"/>
    <w:rsid w:val="00922618"/>
    <w:rsid w:val="0092269E"/>
    <w:rsid w:val="009229F3"/>
    <w:rsid w:val="00922D70"/>
    <w:rsid w:val="00922F39"/>
    <w:rsid w:val="0092356B"/>
    <w:rsid w:val="00923A26"/>
    <w:rsid w:val="00923A66"/>
    <w:rsid w:val="00923DD4"/>
    <w:rsid w:val="0092410D"/>
    <w:rsid w:val="00924111"/>
    <w:rsid w:val="009243A5"/>
    <w:rsid w:val="009249F6"/>
    <w:rsid w:val="00924AE4"/>
    <w:rsid w:val="009251AD"/>
    <w:rsid w:val="009251B3"/>
    <w:rsid w:val="009251B9"/>
    <w:rsid w:val="00925355"/>
    <w:rsid w:val="009255B6"/>
    <w:rsid w:val="009256BD"/>
    <w:rsid w:val="00925AA5"/>
    <w:rsid w:val="00925BEB"/>
    <w:rsid w:val="00925F2E"/>
    <w:rsid w:val="009260B0"/>
    <w:rsid w:val="0092671E"/>
    <w:rsid w:val="009268A3"/>
    <w:rsid w:val="00926BAA"/>
    <w:rsid w:val="00926CE4"/>
    <w:rsid w:val="00926EB9"/>
    <w:rsid w:val="00927113"/>
    <w:rsid w:val="0092749D"/>
    <w:rsid w:val="009274BA"/>
    <w:rsid w:val="0092795F"/>
    <w:rsid w:val="009279E0"/>
    <w:rsid w:val="00927B5C"/>
    <w:rsid w:val="00930055"/>
    <w:rsid w:val="0093006D"/>
    <w:rsid w:val="0093049B"/>
    <w:rsid w:val="009309AD"/>
    <w:rsid w:val="00930C7E"/>
    <w:rsid w:val="00930CE9"/>
    <w:rsid w:val="00931115"/>
    <w:rsid w:val="00931392"/>
    <w:rsid w:val="00931A07"/>
    <w:rsid w:val="00931A42"/>
    <w:rsid w:val="00931B3E"/>
    <w:rsid w:val="00931B94"/>
    <w:rsid w:val="009324C5"/>
    <w:rsid w:val="00932720"/>
    <w:rsid w:val="00932E81"/>
    <w:rsid w:val="009331AC"/>
    <w:rsid w:val="00933610"/>
    <w:rsid w:val="009339B4"/>
    <w:rsid w:val="00933BA4"/>
    <w:rsid w:val="00933E10"/>
    <w:rsid w:val="00934322"/>
    <w:rsid w:val="00934734"/>
    <w:rsid w:val="009350E1"/>
    <w:rsid w:val="0093514D"/>
    <w:rsid w:val="0093540D"/>
    <w:rsid w:val="009354FB"/>
    <w:rsid w:val="0093551D"/>
    <w:rsid w:val="00935530"/>
    <w:rsid w:val="00935580"/>
    <w:rsid w:val="00935581"/>
    <w:rsid w:val="00935D34"/>
    <w:rsid w:val="009360BD"/>
    <w:rsid w:val="00937536"/>
    <w:rsid w:val="0093788A"/>
    <w:rsid w:val="00937C64"/>
    <w:rsid w:val="00937CB5"/>
    <w:rsid w:val="00937D0E"/>
    <w:rsid w:val="0094019D"/>
    <w:rsid w:val="00940943"/>
    <w:rsid w:val="00940D77"/>
    <w:rsid w:val="00940EE0"/>
    <w:rsid w:val="00941078"/>
    <w:rsid w:val="00941602"/>
    <w:rsid w:val="00941745"/>
    <w:rsid w:val="00941827"/>
    <w:rsid w:val="00941A9C"/>
    <w:rsid w:val="00941BAF"/>
    <w:rsid w:val="00941F15"/>
    <w:rsid w:val="009423CA"/>
    <w:rsid w:val="0094257D"/>
    <w:rsid w:val="00942ABE"/>
    <w:rsid w:val="00942C11"/>
    <w:rsid w:val="00943160"/>
    <w:rsid w:val="009433E5"/>
    <w:rsid w:val="0094340F"/>
    <w:rsid w:val="0094351F"/>
    <w:rsid w:val="00943679"/>
    <w:rsid w:val="009436E3"/>
    <w:rsid w:val="009437EC"/>
    <w:rsid w:val="009437F8"/>
    <w:rsid w:val="009439A9"/>
    <w:rsid w:val="00944814"/>
    <w:rsid w:val="00944A4D"/>
    <w:rsid w:val="00944AB0"/>
    <w:rsid w:val="00944CB8"/>
    <w:rsid w:val="00944D7A"/>
    <w:rsid w:val="00945011"/>
    <w:rsid w:val="00945718"/>
    <w:rsid w:val="00945CA4"/>
    <w:rsid w:val="00946390"/>
    <w:rsid w:val="00946773"/>
    <w:rsid w:val="009467E2"/>
    <w:rsid w:val="00946814"/>
    <w:rsid w:val="009468E5"/>
    <w:rsid w:val="009468EC"/>
    <w:rsid w:val="009469DB"/>
    <w:rsid w:val="00947318"/>
    <w:rsid w:val="009473FC"/>
    <w:rsid w:val="00947818"/>
    <w:rsid w:val="00947A69"/>
    <w:rsid w:val="00947B72"/>
    <w:rsid w:val="00947F62"/>
    <w:rsid w:val="00950351"/>
    <w:rsid w:val="009505DC"/>
    <w:rsid w:val="0095063D"/>
    <w:rsid w:val="00950788"/>
    <w:rsid w:val="0095095E"/>
    <w:rsid w:val="00950F9C"/>
    <w:rsid w:val="00951113"/>
    <w:rsid w:val="00951229"/>
    <w:rsid w:val="00951803"/>
    <w:rsid w:val="009519A6"/>
    <w:rsid w:val="00951B00"/>
    <w:rsid w:val="0095220B"/>
    <w:rsid w:val="009523C7"/>
    <w:rsid w:val="00952D56"/>
    <w:rsid w:val="0095308F"/>
    <w:rsid w:val="00953119"/>
    <w:rsid w:val="00953766"/>
    <w:rsid w:val="009538BD"/>
    <w:rsid w:val="00953E99"/>
    <w:rsid w:val="009545F1"/>
    <w:rsid w:val="009547F8"/>
    <w:rsid w:val="009547FB"/>
    <w:rsid w:val="00954C36"/>
    <w:rsid w:val="00954FB8"/>
    <w:rsid w:val="00955543"/>
    <w:rsid w:val="0095555A"/>
    <w:rsid w:val="00955A0D"/>
    <w:rsid w:val="00955BD5"/>
    <w:rsid w:val="00955DBF"/>
    <w:rsid w:val="00955F2D"/>
    <w:rsid w:val="00956EB2"/>
    <w:rsid w:val="00956FA0"/>
    <w:rsid w:val="00957298"/>
    <w:rsid w:val="00957A48"/>
    <w:rsid w:val="009602DA"/>
    <w:rsid w:val="0096050D"/>
    <w:rsid w:val="009608E8"/>
    <w:rsid w:val="00961593"/>
    <w:rsid w:val="0096170F"/>
    <w:rsid w:val="0096194E"/>
    <w:rsid w:val="0096196F"/>
    <w:rsid w:val="009619A1"/>
    <w:rsid w:val="00961C4E"/>
    <w:rsid w:val="00961D2B"/>
    <w:rsid w:val="00961EA6"/>
    <w:rsid w:val="00961F97"/>
    <w:rsid w:val="0096237A"/>
    <w:rsid w:val="009627E1"/>
    <w:rsid w:val="00962B17"/>
    <w:rsid w:val="00962B68"/>
    <w:rsid w:val="0096336E"/>
    <w:rsid w:val="0096347A"/>
    <w:rsid w:val="0096349C"/>
    <w:rsid w:val="00963574"/>
    <w:rsid w:val="009635EB"/>
    <w:rsid w:val="009637D7"/>
    <w:rsid w:val="00963DBF"/>
    <w:rsid w:val="00964158"/>
    <w:rsid w:val="00964795"/>
    <w:rsid w:val="0096494B"/>
    <w:rsid w:val="00964C7F"/>
    <w:rsid w:val="00964DCA"/>
    <w:rsid w:val="009659D8"/>
    <w:rsid w:val="009659F6"/>
    <w:rsid w:val="00965F60"/>
    <w:rsid w:val="0096613B"/>
    <w:rsid w:val="0096615C"/>
    <w:rsid w:val="009669CD"/>
    <w:rsid w:val="00966C09"/>
    <w:rsid w:val="00966C86"/>
    <w:rsid w:val="00966F4F"/>
    <w:rsid w:val="0096714E"/>
    <w:rsid w:val="0096756C"/>
    <w:rsid w:val="0096777C"/>
    <w:rsid w:val="009700FC"/>
    <w:rsid w:val="00970724"/>
    <w:rsid w:val="00970963"/>
    <w:rsid w:val="00970A6F"/>
    <w:rsid w:val="0097254A"/>
    <w:rsid w:val="009725CF"/>
    <w:rsid w:val="00972749"/>
    <w:rsid w:val="009729C9"/>
    <w:rsid w:val="009729D4"/>
    <w:rsid w:val="00972E8E"/>
    <w:rsid w:val="00972F9E"/>
    <w:rsid w:val="00973039"/>
    <w:rsid w:val="009730B4"/>
    <w:rsid w:val="009733A0"/>
    <w:rsid w:val="009736C9"/>
    <w:rsid w:val="00973820"/>
    <w:rsid w:val="00973862"/>
    <w:rsid w:val="00973EE9"/>
    <w:rsid w:val="00974707"/>
    <w:rsid w:val="009747A9"/>
    <w:rsid w:val="00975036"/>
    <w:rsid w:val="009754FB"/>
    <w:rsid w:val="0097556E"/>
    <w:rsid w:val="0097567D"/>
    <w:rsid w:val="00975977"/>
    <w:rsid w:val="00975B0A"/>
    <w:rsid w:val="00975BE4"/>
    <w:rsid w:val="00975C60"/>
    <w:rsid w:val="00975DA7"/>
    <w:rsid w:val="009762A9"/>
    <w:rsid w:val="00976323"/>
    <w:rsid w:val="009764F7"/>
    <w:rsid w:val="00976B50"/>
    <w:rsid w:val="00976CB7"/>
    <w:rsid w:val="00976CDD"/>
    <w:rsid w:val="00976FBD"/>
    <w:rsid w:val="0097709F"/>
    <w:rsid w:val="00977754"/>
    <w:rsid w:val="00977865"/>
    <w:rsid w:val="009779E2"/>
    <w:rsid w:val="00977BAE"/>
    <w:rsid w:val="00977DC2"/>
    <w:rsid w:val="00977F09"/>
    <w:rsid w:val="00977FDF"/>
    <w:rsid w:val="00977FE6"/>
    <w:rsid w:val="00980093"/>
    <w:rsid w:val="0098035D"/>
    <w:rsid w:val="00980562"/>
    <w:rsid w:val="00980566"/>
    <w:rsid w:val="00980759"/>
    <w:rsid w:val="00980803"/>
    <w:rsid w:val="0098084B"/>
    <w:rsid w:val="009808FE"/>
    <w:rsid w:val="00980BE7"/>
    <w:rsid w:val="00981178"/>
    <w:rsid w:val="0098162A"/>
    <w:rsid w:val="009817B0"/>
    <w:rsid w:val="009820B5"/>
    <w:rsid w:val="00982160"/>
    <w:rsid w:val="009821CE"/>
    <w:rsid w:val="00982206"/>
    <w:rsid w:val="009826D2"/>
    <w:rsid w:val="00982DCB"/>
    <w:rsid w:val="00982F07"/>
    <w:rsid w:val="009832B3"/>
    <w:rsid w:val="009833C4"/>
    <w:rsid w:val="0098362F"/>
    <w:rsid w:val="0098375A"/>
    <w:rsid w:val="00983AE5"/>
    <w:rsid w:val="00984C1C"/>
    <w:rsid w:val="00984E3F"/>
    <w:rsid w:val="00984F9A"/>
    <w:rsid w:val="00985726"/>
    <w:rsid w:val="00985AF3"/>
    <w:rsid w:val="00985B66"/>
    <w:rsid w:val="00985B6D"/>
    <w:rsid w:val="00985E7F"/>
    <w:rsid w:val="00985F50"/>
    <w:rsid w:val="00985F73"/>
    <w:rsid w:val="00986297"/>
    <w:rsid w:val="00986379"/>
    <w:rsid w:val="009869B8"/>
    <w:rsid w:val="00986B2B"/>
    <w:rsid w:val="00986C18"/>
    <w:rsid w:val="00986E22"/>
    <w:rsid w:val="00986E9B"/>
    <w:rsid w:val="009874B2"/>
    <w:rsid w:val="0099019C"/>
    <w:rsid w:val="00990214"/>
    <w:rsid w:val="0099098B"/>
    <w:rsid w:val="00990C6D"/>
    <w:rsid w:val="00990D3E"/>
    <w:rsid w:val="009913F4"/>
    <w:rsid w:val="00991672"/>
    <w:rsid w:val="009918F2"/>
    <w:rsid w:val="00991AEE"/>
    <w:rsid w:val="00992A38"/>
    <w:rsid w:val="00992C46"/>
    <w:rsid w:val="00992E5E"/>
    <w:rsid w:val="00992EF2"/>
    <w:rsid w:val="00993E9A"/>
    <w:rsid w:val="00993FD2"/>
    <w:rsid w:val="00994154"/>
    <w:rsid w:val="00994471"/>
    <w:rsid w:val="00994870"/>
    <w:rsid w:val="009949C4"/>
    <w:rsid w:val="00994C8E"/>
    <w:rsid w:val="00994FEC"/>
    <w:rsid w:val="009950CF"/>
    <w:rsid w:val="009951AA"/>
    <w:rsid w:val="009955B1"/>
    <w:rsid w:val="0099580E"/>
    <w:rsid w:val="00995A9C"/>
    <w:rsid w:val="00995EAA"/>
    <w:rsid w:val="00995F23"/>
    <w:rsid w:val="009964FE"/>
    <w:rsid w:val="00996686"/>
    <w:rsid w:val="0099673B"/>
    <w:rsid w:val="009968A2"/>
    <w:rsid w:val="00996A27"/>
    <w:rsid w:val="00996D6F"/>
    <w:rsid w:val="00996F9D"/>
    <w:rsid w:val="0099733C"/>
    <w:rsid w:val="00997345"/>
    <w:rsid w:val="0099791F"/>
    <w:rsid w:val="00997C1C"/>
    <w:rsid w:val="00997E87"/>
    <w:rsid w:val="009A00D1"/>
    <w:rsid w:val="009A03A8"/>
    <w:rsid w:val="009A07BD"/>
    <w:rsid w:val="009A0936"/>
    <w:rsid w:val="009A0C44"/>
    <w:rsid w:val="009A155D"/>
    <w:rsid w:val="009A1852"/>
    <w:rsid w:val="009A1886"/>
    <w:rsid w:val="009A1D96"/>
    <w:rsid w:val="009A1E31"/>
    <w:rsid w:val="009A1F14"/>
    <w:rsid w:val="009A2061"/>
    <w:rsid w:val="009A213E"/>
    <w:rsid w:val="009A263A"/>
    <w:rsid w:val="009A2687"/>
    <w:rsid w:val="009A277C"/>
    <w:rsid w:val="009A2928"/>
    <w:rsid w:val="009A2C1E"/>
    <w:rsid w:val="009A327D"/>
    <w:rsid w:val="009A38CA"/>
    <w:rsid w:val="009A3948"/>
    <w:rsid w:val="009A3959"/>
    <w:rsid w:val="009A3C92"/>
    <w:rsid w:val="009A4116"/>
    <w:rsid w:val="009A4163"/>
    <w:rsid w:val="009A4266"/>
    <w:rsid w:val="009A4363"/>
    <w:rsid w:val="009A4468"/>
    <w:rsid w:val="009A4567"/>
    <w:rsid w:val="009A4AD8"/>
    <w:rsid w:val="009A4B9D"/>
    <w:rsid w:val="009A51BE"/>
    <w:rsid w:val="009A541E"/>
    <w:rsid w:val="009A54C4"/>
    <w:rsid w:val="009A5555"/>
    <w:rsid w:val="009A60A4"/>
    <w:rsid w:val="009A61AC"/>
    <w:rsid w:val="009A6507"/>
    <w:rsid w:val="009A658F"/>
    <w:rsid w:val="009A6AF7"/>
    <w:rsid w:val="009A6E82"/>
    <w:rsid w:val="009A6EB8"/>
    <w:rsid w:val="009A7158"/>
    <w:rsid w:val="009A7838"/>
    <w:rsid w:val="009A786C"/>
    <w:rsid w:val="009A7903"/>
    <w:rsid w:val="009A7C15"/>
    <w:rsid w:val="009A7D64"/>
    <w:rsid w:val="009A7DF2"/>
    <w:rsid w:val="009A7E6A"/>
    <w:rsid w:val="009A7EC6"/>
    <w:rsid w:val="009A7EE9"/>
    <w:rsid w:val="009B02E5"/>
    <w:rsid w:val="009B093B"/>
    <w:rsid w:val="009B0A43"/>
    <w:rsid w:val="009B0AFB"/>
    <w:rsid w:val="009B0B7D"/>
    <w:rsid w:val="009B0F2B"/>
    <w:rsid w:val="009B0FBB"/>
    <w:rsid w:val="009B1351"/>
    <w:rsid w:val="009B13B5"/>
    <w:rsid w:val="009B13FD"/>
    <w:rsid w:val="009B1487"/>
    <w:rsid w:val="009B14C5"/>
    <w:rsid w:val="009B1740"/>
    <w:rsid w:val="009B1E32"/>
    <w:rsid w:val="009B1ED3"/>
    <w:rsid w:val="009B23D4"/>
    <w:rsid w:val="009B308C"/>
    <w:rsid w:val="009B39DF"/>
    <w:rsid w:val="009B39F8"/>
    <w:rsid w:val="009B3F0A"/>
    <w:rsid w:val="009B4190"/>
    <w:rsid w:val="009B470E"/>
    <w:rsid w:val="009B4A4D"/>
    <w:rsid w:val="009B4BF2"/>
    <w:rsid w:val="009B4D38"/>
    <w:rsid w:val="009B4FA6"/>
    <w:rsid w:val="009B5019"/>
    <w:rsid w:val="009B5080"/>
    <w:rsid w:val="009B5869"/>
    <w:rsid w:val="009B599A"/>
    <w:rsid w:val="009B5CEB"/>
    <w:rsid w:val="009B6535"/>
    <w:rsid w:val="009B65EF"/>
    <w:rsid w:val="009B6EFD"/>
    <w:rsid w:val="009B7178"/>
    <w:rsid w:val="009B7306"/>
    <w:rsid w:val="009B738F"/>
    <w:rsid w:val="009B7618"/>
    <w:rsid w:val="009B782A"/>
    <w:rsid w:val="009B786D"/>
    <w:rsid w:val="009C05CD"/>
    <w:rsid w:val="009C0A43"/>
    <w:rsid w:val="009C0BCE"/>
    <w:rsid w:val="009C0E5C"/>
    <w:rsid w:val="009C126F"/>
    <w:rsid w:val="009C1311"/>
    <w:rsid w:val="009C135F"/>
    <w:rsid w:val="009C1512"/>
    <w:rsid w:val="009C17D1"/>
    <w:rsid w:val="009C2560"/>
    <w:rsid w:val="009C26CA"/>
    <w:rsid w:val="009C2712"/>
    <w:rsid w:val="009C29F0"/>
    <w:rsid w:val="009C2F53"/>
    <w:rsid w:val="009C3F41"/>
    <w:rsid w:val="009C4449"/>
    <w:rsid w:val="009C47B9"/>
    <w:rsid w:val="009C49FF"/>
    <w:rsid w:val="009C4A0E"/>
    <w:rsid w:val="009C5104"/>
    <w:rsid w:val="009C539E"/>
    <w:rsid w:val="009C569B"/>
    <w:rsid w:val="009C56BC"/>
    <w:rsid w:val="009C6295"/>
    <w:rsid w:val="009C648F"/>
    <w:rsid w:val="009C6C91"/>
    <w:rsid w:val="009C6CD4"/>
    <w:rsid w:val="009C6E3B"/>
    <w:rsid w:val="009C6F9E"/>
    <w:rsid w:val="009C753B"/>
    <w:rsid w:val="009C798E"/>
    <w:rsid w:val="009D0167"/>
    <w:rsid w:val="009D03C2"/>
    <w:rsid w:val="009D04D8"/>
    <w:rsid w:val="009D08B0"/>
    <w:rsid w:val="009D08EB"/>
    <w:rsid w:val="009D0AA5"/>
    <w:rsid w:val="009D14A5"/>
    <w:rsid w:val="009D178B"/>
    <w:rsid w:val="009D1C4C"/>
    <w:rsid w:val="009D1E25"/>
    <w:rsid w:val="009D1FA5"/>
    <w:rsid w:val="009D1FF4"/>
    <w:rsid w:val="009D21F6"/>
    <w:rsid w:val="009D26B7"/>
    <w:rsid w:val="009D3128"/>
    <w:rsid w:val="009D3177"/>
    <w:rsid w:val="009D333E"/>
    <w:rsid w:val="009D3838"/>
    <w:rsid w:val="009D3B7B"/>
    <w:rsid w:val="009D4182"/>
    <w:rsid w:val="009D42A1"/>
    <w:rsid w:val="009D478C"/>
    <w:rsid w:val="009D47BD"/>
    <w:rsid w:val="009D4B34"/>
    <w:rsid w:val="009D4F1F"/>
    <w:rsid w:val="009D5237"/>
    <w:rsid w:val="009D5468"/>
    <w:rsid w:val="009D5895"/>
    <w:rsid w:val="009D5A29"/>
    <w:rsid w:val="009D60C4"/>
    <w:rsid w:val="009D64A2"/>
    <w:rsid w:val="009D64C6"/>
    <w:rsid w:val="009D69E7"/>
    <w:rsid w:val="009D6A22"/>
    <w:rsid w:val="009D798B"/>
    <w:rsid w:val="009D7A6C"/>
    <w:rsid w:val="009D7A95"/>
    <w:rsid w:val="009D7F32"/>
    <w:rsid w:val="009D7FAC"/>
    <w:rsid w:val="009E0416"/>
    <w:rsid w:val="009E0474"/>
    <w:rsid w:val="009E0505"/>
    <w:rsid w:val="009E07AA"/>
    <w:rsid w:val="009E0B6F"/>
    <w:rsid w:val="009E0EC4"/>
    <w:rsid w:val="009E1044"/>
    <w:rsid w:val="009E1175"/>
    <w:rsid w:val="009E171B"/>
    <w:rsid w:val="009E2138"/>
    <w:rsid w:val="009E217B"/>
    <w:rsid w:val="009E2740"/>
    <w:rsid w:val="009E2885"/>
    <w:rsid w:val="009E2A53"/>
    <w:rsid w:val="009E2DFC"/>
    <w:rsid w:val="009E2E1A"/>
    <w:rsid w:val="009E2E99"/>
    <w:rsid w:val="009E360B"/>
    <w:rsid w:val="009E3724"/>
    <w:rsid w:val="009E3AF1"/>
    <w:rsid w:val="009E3FA5"/>
    <w:rsid w:val="009E408F"/>
    <w:rsid w:val="009E43CD"/>
    <w:rsid w:val="009E4B57"/>
    <w:rsid w:val="009E4CA9"/>
    <w:rsid w:val="009E4DFA"/>
    <w:rsid w:val="009E4FF8"/>
    <w:rsid w:val="009E5937"/>
    <w:rsid w:val="009E5F1C"/>
    <w:rsid w:val="009E6446"/>
    <w:rsid w:val="009E686D"/>
    <w:rsid w:val="009E690D"/>
    <w:rsid w:val="009E6980"/>
    <w:rsid w:val="009E69DA"/>
    <w:rsid w:val="009E6A17"/>
    <w:rsid w:val="009E72D4"/>
    <w:rsid w:val="009E7378"/>
    <w:rsid w:val="009E758E"/>
    <w:rsid w:val="009E7634"/>
    <w:rsid w:val="009E7692"/>
    <w:rsid w:val="009E77BA"/>
    <w:rsid w:val="009E7B78"/>
    <w:rsid w:val="009E7C13"/>
    <w:rsid w:val="009F03CF"/>
    <w:rsid w:val="009F0434"/>
    <w:rsid w:val="009F088B"/>
    <w:rsid w:val="009F0F67"/>
    <w:rsid w:val="009F125E"/>
    <w:rsid w:val="009F19DB"/>
    <w:rsid w:val="009F1DAD"/>
    <w:rsid w:val="009F2167"/>
    <w:rsid w:val="009F2388"/>
    <w:rsid w:val="009F2919"/>
    <w:rsid w:val="009F2A1E"/>
    <w:rsid w:val="009F2FB2"/>
    <w:rsid w:val="009F3189"/>
    <w:rsid w:val="009F337A"/>
    <w:rsid w:val="009F381B"/>
    <w:rsid w:val="009F3A0C"/>
    <w:rsid w:val="009F3AD9"/>
    <w:rsid w:val="009F40FA"/>
    <w:rsid w:val="009F478C"/>
    <w:rsid w:val="009F5588"/>
    <w:rsid w:val="009F570A"/>
    <w:rsid w:val="009F5A5F"/>
    <w:rsid w:val="009F5B5E"/>
    <w:rsid w:val="009F5D9C"/>
    <w:rsid w:val="009F5F38"/>
    <w:rsid w:val="009F6299"/>
    <w:rsid w:val="009F6392"/>
    <w:rsid w:val="009F6464"/>
    <w:rsid w:val="009F64A5"/>
    <w:rsid w:val="009F65A7"/>
    <w:rsid w:val="009F6826"/>
    <w:rsid w:val="009F691F"/>
    <w:rsid w:val="009F69BF"/>
    <w:rsid w:val="009F70C1"/>
    <w:rsid w:val="009F7168"/>
    <w:rsid w:val="009F7177"/>
    <w:rsid w:val="009F7B4D"/>
    <w:rsid w:val="009F7D7B"/>
    <w:rsid w:val="00A00458"/>
    <w:rsid w:val="00A0065F"/>
    <w:rsid w:val="00A00A52"/>
    <w:rsid w:val="00A00B89"/>
    <w:rsid w:val="00A00EC5"/>
    <w:rsid w:val="00A01447"/>
    <w:rsid w:val="00A015E8"/>
    <w:rsid w:val="00A01F95"/>
    <w:rsid w:val="00A0243A"/>
    <w:rsid w:val="00A02457"/>
    <w:rsid w:val="00A02671"/>
    <w:rsid w:val="00A02882"/>
    <w:rsid w:val="00A02C60"/>
    <w:rsid w:val="00A02CDB"/>
    <w:rsid w:val="00A02D5F"/>
    <w:rsid w:val="00A03034"/>
    <w:rsid w:val="00A031C5"/>
    <w:rsid w:val="00A0348A"/>
    <w:rsid w:val="00A034A6"/>
    <w:rsid w:val="00A035BF"/>
    <w:rsid w:val="00A038B6"/>
    <w:rsid w:val="00A03C21"/>
    <w:rsid w:val="00A04125"/>
    <w:rsid w:val="00A04485"/>
    <w:rsid w:val="00A04A6F"/>
    <w:rsid w:val="00A053E6"/>
    <w:rsid w:val="00A054BE"/>
    <w:rsid w:val="00A0550F"/>
    <w:rsid w:val="00A05932"/>
    <w:rsid w:val="00A062AF"/>
    <w:rsid w:val="00A066B7"/>
    <w:rsid w:val="00A066E0"/>
    <w:rsid w:val="00A06957"/>
    <w:rsid w:val="00A06A66"/>
    <w:rsid w:val="00A06E81"/>
    <w:rsid w:val="00A06FF1"/>
    <w:rsid w:val="00A0702C"/>
    <w:rsid w:val="00A07D47"/>
    <w:rsid w:val="00A07EB7"/>
    <w:rsid w:val="00A10593"/>
    <w:rsid w:val="00A106F9"/>
    <w:rsid w:val="00A10960"/>
    <w:rsid w:val="00A11095"/>
    <w:rsid w:val="00A11596"/>
    <w:rsid w:val="00A117B2"/>
    <w:rsid w:val="00A1184D"/>
    <w:rsid w:val="00A11C1A"/>
    <w:rsid w:val="00A11E07"/>
    <w:rsid w:val="00A11F5C"/>
    <w:rsid w:val="00A122CD"/>
    <w:rsid w:val="00A124D0"/>
    <w:rsid w:val="00A12899"/>
    <w:rsid w:val="00A12F62"/>
    <w:rsid w:val="00A134B0"/>
    <w:rsid w:val="00A13699"/>
    <w:rsid w:val="00A1375A"/>
    <w:rsid w:val="00A13D0F"/>
    <w:rsid w:val="00A1436D"/>
    <w:rsid w:val="00A14570"/>
    <w:rsid w:val="00A148D3"/>
    <w:rsid w:val="00A1496E"/>
    <w:rsid w:val="00A14ACF"/>
    <w:rsid w:val="00A14E1B"/>
    <w:rsid w:val="00A14FE9"/>
    <w:rsid w:val="00A150E7"/>
    <w:rsid w:val="00A157D1"/>
    <w:rsid w:val="00A15DF2"/>
    <w:rsid w:val="00A15EAF"/>
    <w:rsid w:val="00A15EFF"/>
    <w:rsid w:val="00A15F34"/>
    <w:rsid w:val="00A1608D"/>
    <w:rsid w:val="00A161B1"/>
    <w:rsid w:val="00A16214"/>
    <w:rsid w:val="00A162D9"/>
    <w:rsid w:val="00A16922"/>
    <w:rsid w:val="00A16B95"/>
    <w:rsid w:val="00A16F47"/>
    <w:rsid w:val="00A173C9"/>
    <w:rsid w:val="00A17A52"/>
    <w:rsid w:val="00A17D5E"/>
    <w:rsid w:val="00A2032A"/>
    <w:rsid w:val="00A2043A"/>
    <w:rsid w:val="00A20495"/>
    <w:rsid w:val="00A20B9F"/>
    <w:rsid w:val="00A20EE5"/>
    <w:rsid w:val="00A218E3"/>
    <w:rsid w:val="00A21918"/>
    <w:rsid w:val="00A21928"/>
    <w:rsid w:val="00A21DD4"/>
    <w:rsid w:val="00A222C6"/>
    <w:rsid w:val="00A2231C"/>
    <w:rsid w:val="00A22FBC"/>
    <w:rsid w:val="00A23166"/>
    <w:rsid w:val="00A2316A"/>
    <w:rsid w:val="00A234A1"/>
    <w:rsid w:val="00A23D59"/>
    <w:rsid w:val="00A24CBB"/>
    <w:rsid w:val="00A24F50"/>
    <w:rsid w:val="00A255ED"/>
    <w:rsid w:val="00A25908"/>
    <w:rsid w:val="00A25A8D"/>
    <w:rsid w:val="00A25D43"/>
    <w:rsid w:val="00A25FB1"/>
    <w:rsid w:val="00A26052"/>
    <w:rsid w:val="00A261BE"/>
    <w:rsid w:val="00A26476"/>
    <w:rsid w:val="00A27300"/>
    <w:rsid w:val="00A274F5"/>
    <w:rsid w:val="00A27C86"/>
    <w:rsid w:val="00A27EC9"/>
    <w:rsid w:val="00A27F07"/>
    <w:rsid w:val="00A30078"/>
    <w:rsid w:val="00A305C0"/>
    <w:rsid w:val="00A30BF2"/>
    <w:rsid w:val="00A30CFA"/>
    <w:rsid w:val="00A30F8D"/>
    <w:rsid w:val="00A30FA0"/>
    <w:rsid w:val="00A31167"/>
    <w:rsid w:val="00A31633"/>
    <w:rsid w:val="00A319BF"/>
    <w:rsid w:val="00A31C32"/>
    <w:rsid w:val="00A31C9D"/>
    <w:rsid w:val="00A31E98"/>
    <w:rsid w:val="00A32430"/>
    <w:rsid w:val="00A32482"/>
    <w:rsid w:val="00A3264C"/>
    <w:rsid w:val="00A3288D"/>
    <w:rsid w:val="00A32BB1"/>
    <w:rsid w:val="00A3302D"/>
    <w:rsid w:val="00A333B7"/>
    <w:rsid w:val="00A334EB"/>
    <w:rsid w:val="00A335A9"/>
    <w:rsid w:val="00A3434B"/>
    <w:rsid w:val="00A344B6"/>
    <w:rsid w:val="00A34C81"/>
    <w:rsid w:val="00A34D5F"/>
    <w:rsid w:val="00A35097"/>
    <w:rsid w:val="00A3528A"/>
    <w:rsid w:val="00A352BF"/>
    <w:rsid w:val="00A35823"/>
    <w:rsid w:val="00A35A2F"/>
    <w:rsid w:val="00A35CCB"/>
    <w:rsid w:val="00A36445"/>
    <w:rsid w:val="00A36672"/>
    <w:rsid w:val="00A36774"/>
    <w:rsid w:val="00A36BA1"/>
    <w:rsid w:val="00A36C7E"/>
    <w:rsid w:val="00A36DF6"/>
    <w:rsid w:val="00A3749B"/>
    <w:rsid w:val="00A37969"/>
    <w:rsid w:val="00A37D87"/>
    <w:rsid w:val="00A37F30"/>
    <w:rsid w:val="00A3D4FF"/>
    <w:rsid w:val="00A40070"/>
    <w:rsid w:val="00A40629"/>
    <w:rsid w:val="00A40760"/>
    <w:rsid w:val="00A40F41"/>
    <w:rsid w:val="00A418ED"/>
    <w:rsid w:val="00A420AA"/>
    <w:rsid w:val="00A422C2"/>
    <w:rsid w:val="00A4259F"/>
    <w:rsid w:val="00A42797"/>
    <w:rsid w:val="00A42CA4"/>
    <w:rsid w:val="00A42F88"/>
    <w:rsid w:val="00A43529"/>
    <w:rsid w:val="00A4373F"/>
    <w:rsid w:val="00A438C5"/>
    <w:rsid w:val="00A439F2"/>
    <w:rsid w:val="00A43DB5"/>
    <w:rsid w:val="00A44205"/>
    <w:rsid w:val="00A4429D"/>
    <w:rsid w:val="00A44378"/>
    <w:rsid w:val="00A44DC2"/>
    <w:rsid w:val="00A4526D"/>
    <w:rsid w:val="00A453F5"/>
    <w:rsid w:val="00A45698"/>
    <w:rsid w:val="00A45881"/>
    <w:rsid w:val="00A45A44"/>
    <w:rsid w:val="00A45C1A"/>
    <w:rsid w:val="00A46436"/>
    <w:rsid w:val="00A4647D"/>
    <w:rsid w:val="00A464F1"/>
    <w:rsid w:val="00A4650E"/>
    <w:rsid w:val="00A465B3"/>
    <w:rsid w:val="00A4683E"/>
    <w:rsid w:val="00A46F9A"/>
    <w:rsid w:val="00A47099"/>
    <w:rsid w:val="00A47347"/>
    <w:rsid w:val="00A47368"/>
    <w:rsid w:val="00A474EF"/>
    <w:rsid w:val="00A475A8"/>
    <w:rsid w:val="00A4769F"/>
    <w:rsid w:val="00A4785D"/>
    <w:rsid w:val="00A47FA9"/>
    <w:rsid w:val="00A5005B"/>
    <w:rsid w:val="00A506A5"/>
    <w:rsid w:val="00A5088B"/>
    <w:rsid w:val="00A50D88"/>
    <w:rsid w:val="00A50E9E"/>
    <w:rsid w:val="00A50ED1"/>
    <w:rsid w:val="00A50F5B"/>
    <w:rsid w:val="00A51761"/>
    <w:rsid w:val="00A52138"/>
    <w:rsid w:val="00A5277C"/>
    <w:rsid w:val="00A52909"/>
    <w:rsid w:val="00A52AC2"/>
    <w:rsid w:val="00A52B4E"/>
    <w:rsid w:val="00A52B80"/>
    <w:rsid w:val="00A52DF4"/>
    <w:rsid w:val="00A53294"/>
    <w:rsid w:val="00A533F4"/>
    <w:rsid w:val="00A53493"/>
    <w:rsid w:val="00A53CE8"/>
    <w:rsid w:val="00A53F54"/>
    <w:rsid w:val="00A54114"/>
    <w:rsid w:val="00A54490"/>
    <w:rsid w:val="00A544BE"/>
    <w:rsid w:val="00A545EB"/>
    <w:rsid w:val="00A5473F"/>
    <w:rsid w:val="00A54EBB"/>
    <w:rsid w:val="00A550D7"/>
    <w:rsid w:val="00A5569E"/>
    <w:rsid w:val="00A55EA2"/>
    <w:rsid w:val="00A56008"/>
    <w:rsid w:val="00A56064"/>
    <w:rsid w:val="00A56665"/>
    <w:rsid w:val="00A56923"/>
    <w:rsid w:val="00A569C4"/>
    <w:rsid w:val="00A56FC1"/>
    <w:rsid w:val="00A57222"/>
    <w:rsid w:val="00A57713"/>
    <w:rsid w:val="00A57796"/>
    <w:rsid w:val="00A57AB9"/>
    <w:rsid w:val="00A57AE9"/>
    <w:rsid w:val="00A57D00"/>
    <w:rsid w:val="00A57D35"/>
    <w:rsid w:val="00A57D3E"/>
    <w:rsid w:val="00A57E78"/>
    <w:rsid w:val="00A6032A"/>
    <w:rsid w:val="00A6055A"/>
    <w:rsid w:val="00A60BFF"/>
    <w:rsid w:val="00A60F9A"/>
    <w:rsid w:val="00A61133"/>
    <w:rsid w:val="00A61F36"/>
    <w:rsid w:val="00A62392"/>
    <w:rsid w:val="00A625D4"/>
    <w:rsid w:val="00A6263D"/>
    <w:rsid w:val="00A62BA2"/>
    <w:rsid w:val="00A62DCD"/>
    <w:rsid w:val="00A62E42"/>
    <w:rsid w:val="00A633CA"/>
    <w:rsid w:val="00A635E6"/>
    <w:rsid w:val="00A63926"/>
    <w:rsid w:val="00A63B3B"/>
    <w:rsid w:val="00A63BA8"/>
    <w:rsid w:val="00A63F0B"/>
    <w:rsid w:val="00A63F7D"/>
    <w:rsid w:val="00A63FC2"/>
    <w:rsid w:val="00A640FF"/>
    <w:rsid w:val="00A6427F"/>
    <w:rsid w:val="00A64378"/>
    <w:rsid w:val="00A6440E"/>
    <w:rsid w:val="00A64A71"/>
    <w:rsid w:val="00A64AE4"/>
    <w:rsid w:val="00A64D6D"/>
    <w:rsid w:val="00A64F00"/>
    <w:rsid w:val="00A65588"/>
    <w:rsid w:val="00A65A84"/>
    <w:rsid w:val="00A65AB0"/>
    <w:rsid w:val="00A65E43"/>
    <w:rsid w:val="00A65EEC"/>
    <w:rsid w:val="00A6662F"/>
    <w:rsid w:val="00A6667A"/>
    <w:rsid w:val="00A667BC"/>
    <w:rsid w:val="00A66E17"/>
    <w:rsid w:val="00A6709E"/>
    <w:rsid w:val="00A6773A"/>
    <w:rsid w:val="00A67814"/>
    <w:rsid w:val="00A67D22"/>
    <w:rsid w:val="00A67DDD"/>
    <w:rsid w:val="00A67F56"/>
    <w:rsid w:val="00A67FD1"/>
    <w:rsid w:val="00A7002F"/>
    <w:rsid w:val="00A7009F"/>
    <w:rsid w:val="00A7014C"/>
    <w:rsid w:val="00A70202"/>
    <w:rsid w:val="00A702A3"/>
    <w:rsid w:val="00A703E9"/>
    <w:rsid w:val="00A705CB"/>
    <w:rsid w:val="00A7064C"/>
    <w:rsid w:val="00A70C92"/>
    <w:rsid w:val="00A70D37"/>
    <w:rsid w:val="00A70E12"/>
    <w:rsid w:val="00A70ECD"/>
    <w:rsid w:val="00A7134E"/>
    <w:rsid w:val="00A71920"/>
    <w:rsid w:val="00A71AAB"/>
    <w:rsid w:val="00A71C44"/>
    <w:rsid w:val="00A71E21"/>
    <w:rsid w:val="00A71F78"/>
    <w:rsid w:val="00A71F8E"/>
    <w:rsid w:val="00A7236F"/>
    <w:rsid w:val="00A72604"/>
    <w:rsid w:val="00A726BD"/>
    <w:rsid w:val="00A72960"/>
    <w:rsid w:val="00A72D8F"/>
    <w:rsid w:val="00A72DAF"/>
    <w:rsid w:val="00A72FE6"/>
    <w:rsid w:val="00A73A8C"/>
    <w:rsid w:val="00A73C61"/>
    <w:rsid w:val="00A74403"/>
    <w:rsid w:val="00A74658"/>
    <w:rsid w:val="00A75296"/>
    <w:rsid w:val="00A752B1"/>
    <w:rsid w:val="00A753B9"/>
    <w:rsid w:val="00A75702"/>
    <w:rsid w:val="00A757F3"/>
    <w:rsid w:val="00A75943"/>
    <w:rsid w:val="00A75E65"/>
    <w:rsid w:val="00A7614C"/>
    <w:rsid w:val="00A762B1"/>
    <w:rsid w:val="00A764C3"/>
    <w:rsid w:val="00A765C8"/>
    <w:rsid w:val="00A7661B"/>
    <w:rsid w:val="00A766A4"/>
    <w:rsid w:val="00A76D01"/>
    <w:rsid w:val="00A76F92"/>
    <w:rsid w:val="00A77A49"/>
    <w:rsid w:val="00A77A95"/>
    <w:rsid w:val="00A77D0A"/>
    <w:rsid w:val="00A77D96"/>
    <w:rsid w:val="00A77F29"/>
    <w:rsid w:val="00A800E9"/>
    <w:rsid w:val="00A8025C"/>
    <w:rsid w:val="00A8082E"/>
    <w:rsid w:val="00A80A7A"/>
    <w:rsid w:val="00A80B13"/>
    <w:rsid w:val="00A80DD7"/>
    <w:rsid w:val="00A80E54"/>
    <w:rsid w:val="00A80E88"/>
    <w:rsid w:val="00A80FA9"/>
    <w:rsid w:val="00A81429"/>
    <w:rsid w:val="00A81AC2"/>
    <w:rsid w:val="00A81C75"/>
    <w:rsid w:val="00A81D31"/>
    <w:rsid w:val="00A81DC6"/>
    <w:rsid w:val="00A81E89"/>
    <w:rsid w:val="00A81EBA"/>
    <w:rsid w:val="00A8224A"/>
    <w:rsid w:val="00A82445"/>
    <w:rsid w:val="00A825B1"/>
    <w:rsid w:val="00A825B7"/>
    <w:rsid w:val="00A828B4"/>
    <w:rsid w:val="00A83007"/>
    <w:rsid w:val="00A83AE6"/>
    <w:rsid w:val="00A83C30"/>
    <w:rsid w:val="00A84086"/>
    <w:rsid w:val="00A84396"/>
    <w:rsid w:val="00A84AA1"/>
    <w:rsid w:val="00A84B7F"/>
    <w:rsid w:val="00A84B9F"/>
    <w:rsid w:val="00A84CE4"/>
    <w:rsid w:val="00A84EBC"/>
    <w:rsid w:val="00A853EA"/>
    <w:rsid w:val="00A85673"/>
    <w:rsid w:val="00A85768"/>
    <w:rsid w:val="00A85FAF"/>
    <w:rsid w:val="00A860FD"/>
    <w:rsid w:val="00A8654B"/>
    <w:rsid w:val="00A86646"/>
    <w:rsid w:val="00A867BB"/>
    <w:rsid w:val="00A86C9E"/>
    <w:rsid w:val="00A86CE3"/>
    <w:rsid w:val="00A86EFE"/>
    <w:rsid w:val="00A872F4"/>
    <w:rsid w:val="00A8747B"/>
    <w:rsid w:val="00A87695"/>
    <w:rsid w:val="00A87779"/>
    <w:rsid w:val="00A87874"/>
    <w:rsid w:val="00A87D7F"/>
    <w:rsid w:val="00A87DC5"/>
    <w:rsid w:val="00A87E31"/>
    <w:rsid w:val="00A87E88"/>
    <w:rsid w:val="00A90586"/>
    <w:rsid w:val="00A905C3"/>
    <w:rsid w:val="00A916E6"/>
    <w:rsid w:val="00A91A55"/>
    <w:rsid w:val="00A91ADA"/>
    <w:rsid w:val="00A92065"/>
    <w:rsid w:val="00A92F64"/>
    <w:rsid w:val="00A93255"/>
    <w:rsid w:val="00A93401"/>
    <w:rsid w:val="00A93505"/>
    <w:rsid w:val="00A935A8"/>
    <w:rsid w:val="00A93A4E"/>
    <w:rsid w:val="00A94019"/>
    <w:rsid w:val="00A94064"/>
    <w:rsid w:val="00A94882"/>
    <w:rsid w:val="00A94A9F"/>
    <w:rsid w:val="00A94B00"/>
    <w:rsid w:val="00A94D33"/>
    <w:rsid w:val="00A94F45"/>
    <w:rsid w:val="00A9506D"/>
    <w:rsid w:val="00A958D1"/>
    <w:rsid w:val="00A95A7B"/>
    <w:rsid w:val="00A95DB2"/>
    <w:rsid w:val="00A95FCE"/>
    <w:rsid w:val="00A962FA"/>
    <w:rsid w:val="00A964DC"/>
    <w:rsid w:val="00A9650B"/>
    <w:rsid w:val="00A96959"/>
    <w:rsid w:val="00A96CDC"/>
    <w:rsid w:val="00A97124"/>
    <w:rsid w:val="00A972C4"/>
    <w:rsid w:val="00A972D4"/>
    <w:rsid w:val="00A974F5"/>
    <w:rsid w:val="00A97592"/>
    <w:rsid w:val="00A97A99"/>
    <w:rsid w:val="00AA05A1"/>
    <w:rsid w:val="00AA09BD"/>
    <w:rsid w:val="00AA0A90"/>
    <w:rsid w:val="00AA1039"/>
    <w:rsid w:val="00AA113D"/>
    <w:rsid w:val="00AA119E"/>
    <w:rsid w:val="00AA127A"/>
    <w:rsid w:val="00AA165D"/>
    <w:rsid w:val="00AA1D1F"/>
    <w:rsid w:val="00AA1D71"/>
    <w:rsid w:val="00AA269B"/>
    <w:rsid w:val="00AA2A72"/>
    <w:rsid w:val="00AA2AF0"/>
    <w:rsid w:val="00AA2FC9"/>
    <w:rsid w:val="00AA3289"/>
    <w:rsid w:val="00AA33E2"/>
    <w:rsid w:val="00AA3E83"/>
    <w:rsid w:val="00AA40B4"/>
    <w:rsid w:val="00AA476F"/>
    <w:rsid w:val="00AA4B76"/>
    <w:rsid w:val="00AA4BBA"/>
    <w:rsid w:val="00AA4D1F"/>
    <w:rsid w:val="00AA5315"/>
    <w:rsid w:val="00AA568D"/>
    <w:rsid w:val="00AA575B"/>
    <w:rsid w:val="00AA5F94"/>
    <w:rsid w:val="00AA6080"/>
    <w:rsid w:val="00AA62E2"/>
    <w:rsid w:val="00AA6411"/>
    <w:rsid w:val="00AA657D"/>
    <w:rsid w:val="00AA6929"/>
    <w:rsid w:val="00AA6A9D"/>
    <w:rsid w:val="00AA6AD2"/>
    <w:rsid w:val="00AA6DC0"/>
    <w:rsid w:val="00AA6F31"/>
    <w:rsid w:val="00AA7675"/>
    <w:rsid w:val="00AA771E"/>
    <w:rsid w:val="00AA7768"/>
    <w:rsid w:val="00AA7B34"/>
    <w:rsid w:val="00AA7C99"/>
    <w:rsid w:val="00AB011D"/>
    <w:rsid w:val="00AB023E"/>
    <w:rsid w:val="00AB0427"/>
    <w:rsid w:val="00AB04F1"/>
    <w:rsid w:val="00AB05D5"/>
    <w:rsid w:val="00AB1523"/>
    <w:rsid w:val="00AB1A0A"/>
    <w:rsid w:val="00AB1F01"/>
    <w:rsid w:val="00AB24AF"/>
    <w:rsid w:val="00AB26F7"/>
    <w:rsid w:val="00AB289B"/>
    <w:rsid w:val="00AB32EA"/>
    <w:rsid w:val="00AB3710"/>
    <w:rsid w:val="00AB3839"/>
    <w:rsid w:val="00AB3A2F"/>
    <w:rsid w:val="00AB3AA0"/>
    <w:rsid w:val="00AB3AB3"/>
    <w:rsid w:val="00AB3AC6"/>
    <w:rsid w:val="00AB3D94"/>
    <w:rsid w:val="00AB4C16"/>
    <w:rsid w:val="00AB523B"/>
    <w:rsid w:val="00AB5720"/>
    <w:rsid w:val="00AB5CEB"/>
    <w:rsid w:val="00AB5E81"/>
    <w:rsid w:val="00AB6A71"/>
    <w:rsid w:val="00AB70FB"/>
    <w:rsid w:val="00AB776E"/>
    <w:rsid w:val="00AB7775"/>
    <w:rsid w:val="00AC0429"/>
    <w:rsid w:val="00AC05A7"/>
    <w:rsid w:val="00AC0ED6"/>
    <w:rsid w:val="00AC10CC"/>
    <w:rsid w:val="00AC138B"/>
    <w:rsid w:val="00AC1778"/>
    <w:rsid w:val="00AC1867"/>
    <w:rsid w:val="00AC246D"/>
    <w:rsid w:val="00AC25C9"/>
    <w:rsid w:val="00AC2603"/>
    <w:rsid w:val="00AC2839"/>
    <w:rsid w:val="00AC2A83"/>
    <w:rsid w:val="00AC2CD2"/>
    <w:rsid w:val="00AC3196"/>
    <w:rsid w:val="00AC39FB"/>
    <w:rsid w:val="00AC3E78"/>
    <w:rsid w:val="00AC4080"/>
    <w:rsid w:val="00AC4303"/>
    <w:rsid w:val="00AC492A"/>
    <w:rsid w:val="00AC513A"/>
    <w:rsid w:val="00AC521A"/>
    <w:rsid w:val="00AC54ED"/>
    <w:rsid w:val="00AC55F5"/>
    <w:rsid w:val="00AC58BC"/>
    <w:rsid w:val="00AC5E0D"/>
    <w:rsid w:val="00AC5E8B"/>
    <w:rsid w:val="00AC60AF"/>
    <w:rsid w:val="00AC6205"/>
    <w:rsid w:val="00AC62E7"/>
    <w:rsid w:val="00AC682E"/>
    <w:rsid w:val="00AC6848"/>
    <w:rsid w:val="00AC6882"/>
    <w:rsid w:val="00AC6C48"/>
    <w:rsid w:val="00AC6C8B"/>
    <w:rsid w:val="00AC6E61"/>
    <w:rsid w:val="00AC7188"/>
    <w:rsid w:val="00AC7201"/>
    <w:rsid w:val="00AC7271"/>
    <w:rsid w:val="00AC7292"/>
    <w:rsid w:val="00AC7796"/>
    <w:rsid w:val="00AC7ECA"/>
    <w:rsid w:val="00AC7F0F"/>
    <w:rsid w:val="00AD067F"/>
    <w:rsid w:val="00AD0903"/>
    <w:rsid w:val="00AD0A8D"/>
    <w:rsid w:val="00AD1231"/>
    <w:rsid w:val="00AD12BE"/>
    <w:rsid w:val="00AD14BE"/>
    <w:rsid w:val="00AD1536"/>
    <w:rsid w:val="00AD1595"/>
    <w:rsid w:val="00AD19A4"/>
    <w:rsid w:val="00AD1B55"/>
    <w:rsid w:val="00AD1C22"/>
    <w:rsid w:val="00AD1C41"/>
    <w:rsid w:val="00AD250C"/>
    <w:rsid w:val="00AD288F"/>
    <w:rsid w:val="00AD2A16"/>
    <w:rsid w:val="00AD2B16"/>
    <w:rsid w:val="00AD2D40"/>
    <w:rsid w:val="00AD2E97"/>
    <w:rsid w:val="00AD3B07"/>
    <w:rsid w:val="00AD3CBC"/>
    <w:rsid w:val="00AD3E67"/>
    <w:rsid w:val="00AD41A2"/>
    <w:rsid w:val="00AD438E"/>
    <w:rsid w:val="00AD45BC"/>
    <w:rsid w:val="00AD4E52"/>
    <w:rsid w:val="00AD51DC"/>
    <w:rsid w:val="00AD5D4F"/>
    <w:rsid w:val="00AD5E35"/>
    <w:rsid w:val="00AD608A"/>
    <w:rsid w:val="00AD6570"/>
    <w:rsid w:val="00AD6652"/>
    <w:rsid w:val="00AD68BF"/>
    <w:rsid w:val="00AD6AFA"/>
    <w:rsid w:val="00AD6B53"/>
    <w:rsid w:val="00AD6DBB"/>
    <w:rsid w:val="00AD6FF7"/>
    <w:rsid w:val="00AD794A"/>
    <w:rsid w:val="00AD7A68"/>
    <w:rsid w:val="00AE034D"/>
    <w:rsid w:val="00AE0565"/>
    <w:rsid w:val="00AE059E"/>
    <w:rsid w:val="00AE08CF"/>
    <w:rsid w:val="00AE093F"/>
    <w:rsid w:val="00AE0CD4"/>
    <w:rsid w:val="00AE15B1"/>
    <w:rsid w:val="00AE17C4"/>
    <w:rsid w:val="00AE1AB4"/>
    <w:rsid w:val="00AE1D79"/>
    <w:rsid w:val="00AE1EE6"/>
    <w:rsid w:val="00AE22A2"/>
    <w:rsid w:val="00AE29A2"/>
    <w:rsid w:val="00AE2AC2"/>
    <w:rsid w:val="00AE2C76"/>
    <w:rsid w:val="00AE2F90"/>
    <w:rsid w:val="00AE2FC5"/>
    <w:rsid w:val="00AE3953"/>
    <w:rsid w:val="00AE3B46"/>
    <w:rsid w:val="00AE3D90"/>
    <w:rsid w:val="00AE3EEB"/>
    <w:rsid w:val="00AE3FF2"/>
    <w:rsid w:val="00AE4189"/>
    <w:rsid w:val="00AE42BF"/>
    <w:rsid w:val="00AE42E0"/>
    <w:rsid w:val="00AE46FD"/>
    <w:rsid w:val="00AE4A20"/>
    <w:rsid w:val="00AE519F"/>
    <w:rsid w:val="00AE53F2"/>
    <w:rsid w:val="00AE57F2"/>
    <w:rsid w:val="00AE5813"/>
    <w:rsid w:val="00AE5AA0"/>
    <w:rsid w:val="00AE5B67"/>
    <w:rsid w:val="00AE5B7C"/>
    <w:rsid w:val="00AE5C07"/>
    <w:rsid w:val="00AE5C7A"/>
    <w:rsid w:val="00AE60B2"/>
    <w:rsid w:val="00AE6163"/>
    <w:rsid w:val="00AE67C7"/>
    <w:rsid w:val="00AE67E2"/>
    <w:rsid w:val="00AE6826"/>
    <w:rsid w:val="00AE6A7C"/>
    <w:rsid w:val="00AE6D38"/>
    <w:rsid w:val="00AE6EE4"/>
    <w:rsid w:val="00AE715D"/>
    <w:rsid w:val="00AE7392"/>
    <w:rsid w:val="00AE7468"/>
    <w:rsid w:val="00AE76B2"/>
    <w:rsid w:val="00AE793F"/>
    <w:rsid w:val="00AE7A94"/>
    <w:rsid w:val="00AE7D7C"/>
    <w:rsid w:val="00AE7E78"/>
    <w:rsid w:val="00AE7E8D"/>
    <w:rsid w:val="00AF0145"/>
    <w:rsid w:val="00AF0172"/>
    <w:rsid w:val="00AF0396"/>
    <w:rsid w:val="00AF08F9"/>
    <w:rsid w:val="00AF0F0B"/>
    <w:rsid w:val="00AF11F2"/>
    <w:rsid w:val="00AF1331"/>
    <w:rsid w:val="00AF1337"/>
    <w:rsid w:val="00AF1438"/>
    <w:rsid w:val="00AF18F8"/>
    <w:rsid w:val="00AF1A16"/>
    <w:rsid w:val="00AF1AD1"/>
    <w:rsid w:val="00AF1B78"/>
    <w:rsid w:val="00AF1BFE"/>
    <w:rsid w:val="00AF1C30"/>
    <w:rsid w:val="00AF230C"/>
    <w:rsid w:val="00AF243C"/>
    <w:rsid w:val="00AF29A7"/>
    <w:rsid w:val="00AF2A3E"/>
    <w:rsid w:val="00AF2AFB"/>
    <w:rsid w:val="00AF2E2E"/>
    <w:rsid w:val="00AF2F75"/>
    <w:rsid w:val="00AF32A7"/>
    <w:rsid w:val="00AF3366"/>
    <w:rsid w:val="00AF35ED"/>
    <w:rsid w:val="00AF38DC"/>
    <w:rsid w:val="00AF3B15"/>
    <w:rsid w:val="00AF4099"/>
    <w:rsid w:val="00AF4290"/>
    <w:rsid w:val="00AF45AF"/>
    <w:rsid w:val="00AF461B"/>
    <w:rsid w:val="00AF470B"/>
    <w:rsid w:val="00AF4C9D"/>
    <w:rsid w:val="00AF4F02"/>
    <w:rsid w:val="00AF5567"/>
    <w:rsid w:val="00AF65AF"/>
    <w:rsid w:val="00AF65BB"/>
    <w:rsid w:val="00AF663A"/>
    <w:rsid w:val="00AF6823"/>
    <w:rsid w:val="00AF6930"/>
    <w:rsid w:val="00AF6C6B"/>
    <w:rsid w:val="00AF6E43"/>
    <w:rsid w:val="00AF7562"/>
    <w:rsid w:val="00AF77C8"/>
    <w:rsid w:val="00AF7AE4"/>
    <w:rsid w:val="00B000FD"/>
    <w:rsid w:val="00B005C5"/>
    <w:rsid w:val="00B0093A"/>
    <w:rsid w:val="00B01504"/>
    <w:rsid w:val="00B017D6"/>
    <w:rsid w:val="00B01B20"/>
    <w:rsid w:val="00B01D0E"/>
    <w:rsid w:val="00B01FA3"/>
    <w:rsid w:val="00B02001"/>
    <w:rsid w:val="00B022BE"/>
    <w:rsid w:val="00B02334"/>
    <w:rsid w:val="00B0260B"/>
    <w:rsid w:val="00B0297A"/>
    <w:rsid w:val="00B02B58"/>
    <w:rsid w:val="00B02E04"/>
    <w:rsid w:val="00B02E9E"/>
    <w:rsid w:val="00B02F3D"/>
    <w:rsid w:val="00B030CD"/>
    <w:rsid w:val="00B0337E"/>
    <w:rsid w:val="00B0393E"/>
    <w:rsid w:val="00B039A4"/>
    <w:rsid w:val="00B03B18"/>
    <w:rsid w:val="00B03B29"/>
    <w:rsid w:val="00B03DD6"/>
    <w:rsid w:val="00B03E6E"/>
    <w:rsid w:val="00B0443A"/>
    <w:rsid w:val="00B044E4"/>
    <w:rsid w:val="00B0552A"/>
    <w:rsid w:val="00B056E1"/>
    <w:rsid w:val="00B05C97"/>
    <w:rsid w:val="00B05DF5"/>
    <w:rsid w:val="00B0608C"/>
    <w:rsid w:val="00B06697"/>
    <w:rsid w:val="00B06853"/>
    <w:rsid w:val="00B0686E"/>
    <w:rsid w:val="00B0691E"/>
    <w:rsid w:val="00B06B1F"/>
    <w:rsid w:val="00B06C57"/>
    <w:rsid w:val="00B07F82"/>
    <w:rsid w:val="00B104D0"/>
    <w:rsid w:val="00B10941"/>
    <w:rsid w:val="00B109DF"/>
    <w:rsid w:val="00B10C2A"/>
    <w:rsid w:val="00B10EA2"/>
    <w:rsid w:val="00B10F41"/>
    <w:rsid w:val="00B10F6E"/>
    <w:rsid w:val="00B1134A"/>
    <w:rsid w:val="00B1144D"/>
    <w:rsid w:val="00B11570"/>
    <w:rsid w:val="00B1165A"/>
    <w:rsid w:val="00B11BCB"/>
    <w:rsid w:val="00B11C5A"/>
    <w:rsid w:val="00B11CEC"/>
    <w:rsid w:val="00B12214"/>
    <w:rsid w:val="00B12235"/>
    <w:rsid w:val="00B12720"/>
    <w:rsid w:val="00B12DCD"/>
    <w:rsid w:val="00B13003"/>
    <w:rsid w:val="00B13609"/>
    <w:rsid w:val="00B13672"/>
    <w:rsid w:val="00B1370D"/>
    <w:rsid w:val="00B143AD"/>
    <w:rsid w:val="00B143C3"/>
    <w:rsid w:val="00B14A51"/>
    <w:rsid w:val="00B14CF8"/>
    <w:rsid w:val="00B14F45"/>
    <w:rsid w:val="00B14F9B"/>
    <w:rsid w:val="00B152DA"/>
    <w:rsid w:val="00B16A43"/>
    <w:rsid w:val="00B16F24"/>
    <w:rsid w:val="00B1707D"/>
    <w:rsid w:val="00B170B6"/>
    <w:rsid w:val="00B1734C"/>
    <w:rsid w:val="00B17490"/>
    <w:rsid w:val="00B17F22"/>
    <w:rsid w:val="00B2049F"/>
    <w:rsid w:val="00B204A9"/>
    <w:rsid w:val="00B209DA"/>
    <w:rsid w:val="00B212C1"/>
    <w:rsid w:val="00B216CD"/>
    <w:rsid w:val="00B21A0B"/>
    <w:rsid w:val="00B21A97"/>
    <w:rsid w:val="00B21C1D"/>
    <w:rsid w:val="00B21EC7"/>
    <w:rsid w:val="00B223D2"/>
    <w:rsid w:val="00B22961"/>
    <w:rsid w:val="00B22985"/>
    <w:rsid w:val="00B22ABE"/>
    <w:rsid w:val="00B22DFB"/>
    <w:rsid w:val="00B22E4F"/>
    <w:rsid w:val="00B22ECF"/>
    <w:rsid w:val="00B234F6"/>
    <w:rsid w:val="00B236EA"/>
    <w:rsid w:val="00B23B80"/>
    <w:rsid w:val="00B23D89"/>
    <w:rsid w:val="00B24348"/>
    <w:rsid w:val="00B24C83"/>
    <w:rsid w:val="00B24E9B"/>
    <w:rsid w:val="00B24EFF"/>
    <w:rsid w:val="00B2568E"/>
    <w:rsid w:val="00B259D4"/>
    <w:rsid w:val="00B25A00"/>
    <w:rsid w:val="00B25A93"/>
    <w:rsid w:val="00B25B49"/>
    <w:rsid w:val="00B25E31"/>
    <w:rsid w:val="00B25FA8"/>
    <w:rsid w:val="00B2624F"/>
    <w:rsid w:val="00B26CCD"/>
    <w:rsid w:val="00B26EA9"/>
    <w:rsid w:val="00B26EBC"/>
    <w:rsid w:val="00B2729F"/>
    <w:rsid w:val="00B27C2B"/>
    <w:rsid w:val="00B27CF7"/>
    <w:rsid w:val="00B27DAC"/>
    <w:rsid w:val="00B30028"/>
    <w:rsid w:val="00B30384"/>
    <w:rsid w:val="00B30B96"/>
    <w:rsid w:val="00B30C1D"/>
    <w:rsid w:val="00B30EE6"/>
    <w:rsid w:val="00B318B2"/>
    <w:rsid w:val="00B31DDE"/>
    <w:rsid w:val="00B320DA"/>
    <w:rsid w:val="00B32150"/>
    <w:rsid w:val="00B3236D"/>
    <w:rsid w:val="00B323AC"/>
    <w:rsid w:val="00B3295B"/>
    <w:rsid w:val="00B32993"/>
    <w:rsid w:val="00B330D3"/>
    <w:rsid w:val="00B3332E"/>
    <w:rsid w:val="00B339BB"/>
    <w:rsid w:val="00B340ED"/>
    <w:rsid w:val="00B34491"/>
    <w:rsid w:val="00B344B8"/>
    <w:rsid w:val="00B347DD"/>
    <w:rsid w:val="00B34AE2"/>
    <w:rsid w:val="00B34DFF"/>
    <w:rsid w:val="00B34E9F"/>
    <w:rsid w:val="00B35630"/>
    <w:rsid w:val="00B3583B"/>
    <w:rsid w:val="00B35AD1"/>
    <w:rsid w:val="00B36132"/>
    <w:rsid w:val="00B362CF"/>
    <w:rsid w:val="00B36371"/>
    <w:rsid w:val="00B36374"/>
    <w:rsid w:val="00B36781"/>
    <w:rsid w:val="00B367AC"/>
    <w:rsid w:val="00B36ECD"/>
    <w:rsid w:val="00B371AB"/>
    <w:rsid w:val="00B3797F"/>
    <w:rsid w:val="00B37A8F"/>
    <w:rsid w:val="00B37CA3"/>
    <w:rsid w:val="00B4014C"/>
    <w:rsid w:val="00B404B0"/>
    <w:rsid w:val="00B40AE2"/>
    <w:rsid w:val="00B40B53"/>
    <w:rsid w:val="00B411E7"/>
    <w:rsid w:val="00B4193D"/>
    <w:rsid w:val="00B41B82"/>
    <w:rsid w:val="00B41CE7"/>
    <w:rsid w:val="00B41DD7"/>
    <w:rsid w:val="00B41E40"/>
    <w:rsid w:val="00B4269A"/>
    <w:rsid w:val="00B43630"/>
    <w:rsid w:val="00B43790"/>
    <w:rsid w:val="00B437B0"/>
    <w:rsid w:val="00B4395E"/>
    <w:rsid w:val="00B43970"/>
    <w:rsid w:val="00B43A46"/>
    <w:rsid w:val="00B44372"/>
    <w:rsid w:val="00B445D2"/>
    <w:rsid w:val="00B448CE"/>
    <w:rsid w:val="00B44F9D"/>
    <w:rsid w:val="00B44FB5"/>
    <w:rsid w:val="00B4528A"/>
    <w:rsid w:val="00B4529C"/>
    <w:rsid w:val="00B45655"/>
    <w:rsid w:val="00B459A6"/>
    <w:rsid w:val="00B45A0D"/>
    <w:rsid w:val="00B45C2C"/>
    <w:rsid w:val="00B45D8F"/>
    <w:rsid w:val="00B45DD9"/>
    <w:rsid w:val="00B4604A"/>
    <w:rsid w:val="00B46197"/>
    <w:rsid w:val="00B46247"/>
    <w:rsid w:val="00B4648D"/>
    <w:rsid w:val="00B467BE"/>
    <w:rsid w:val="00B46A83"/>
    <w:rsid w:val="00B46B2B"/>
    <w:rsid w:val="00B4730D"/>
    <w:rsid w:val="00B474A9"/>
    <w:rsid w:val="00B47893"/>
    <w:rsid w:val="00B47CE0"/>
    <w:rsid w:val="00B47DD8"/>
    <w:rsid w:val="00B5012A"/>
    <w:rsid w:val="00B5017E"/>
    <w:rsid w:val="00B5024B"/>
    <w:rsid w:val="00B50426"/>
    <w:rsid w:val="00B5072B"/>
    <w:rsid w:val="00B50868"/>
    <w:rsid w:val="00B50888"/>
    <w:rsid w:val="00B508AF"/>
    <w:rsid w:val="00B508D4"/>
    <w:rsid w:val="00B50911"/>
    <w:rsid w:val="00B50FE4"/>
    <w:rsid w:val="00B51385"/>
    <w:rsid w:val="00B5141E"/>
    <w:rsid w:val="00B5178C"/>
    <w:rsid w:val="00B517D0"/>
    <w:rsid w:val="00B51850"/>
    <w:rsid w:val="00B51939"/>
    <w:rsid w:val="00B51FAE"/>
    <w:rsid w:val="00B51FDE"/>
    <w:rsid w:val="00B5212B"/>
    <w:rsid w:val="00B522AF"/>
    <w:rsid w:val="00B527E7"/>
    <w:rsid w:val="00B52A3E"/>
    <w:rsid w:val="00B5305B"/>
    <w:rsid w:val="00B53284"/>
    <w:rsid w:val="00B53510"/>
    <w:rsid w:val="00B53B06"/>
    <w:rsid w:val="00B53CF9"/>
    <w:rsid w:val="00B53E64"/>
    <w:rsid w:val="00B54023"/>
    <w:rsid w:val="00B54031"/>
    <w:rsid w:val="00B5429E"/>
    <w:rsid w:val="00B5457A"/>
    <w:rsid w:val="00B54604"/>
    <w:rsid w:val="00B54783"/>
    <w:rsid w:val="00B5486C"/>
    <w:rsid w:val="00B54A36"/>
    <w:rsid w:val="00B54A7E"/>
    <w:rsid w:val="00B54CD3"/>
    <w:rsid w:val="00B54F8A"/>
    <w:rsid w:val="00B5510F"/>
    <w:rsid w:val="00B55262"/>
    <w:rsid w:val="00B563A9"/>
    <w:rsid w:val="00B56848"/>
    <w:rsid w:val="00B56AA5"/>
    <w:rsid w:val="00B56B09"/>
    <w:rsid w:val="00B56D69"/>
    <w:rsid w:val="00B56E95"/>
    <w:rsid w:val="00B571B2"/>
    <w:rsid w:val="00B574DA"/>
    <w:rsid w:val="00B57719"/>
    <w:rsid w:val="00B57860"/>
    <w:rsid w:val="00B57871"/>
    <w:rsid w:val="00B57B3D"/>
    <w:rsid w:val="00B57F35"/>
    <w:rsid w:val="00B603CC"/>
    <w:rsid w:val="00B60BA2"/>
    <w:rsid w:val="00B60E90"/>
    <w:rsid w:val="00B6147A"/>
    <w:rsid w:val="00B626D0"/>
    <w:rsid w:val="00B62731"/>
    <w:rsid w:val="00B628D3"/>
    <w:rsid w:val="00B62A8C"/>
    <w:rsid w:val="00B62B28"/>
    <w:rsid w:val="00B62DBB"/>
    <w:rsid w:val="00B63EB3"/>
    <w:rsid w:val="00B64006"/>
    <w:rsid w:val="00B64F39"/>
    <w:rsid w:val="00B65347"/>
    <w:rsid w:val="00B6537F"/>
    <w:rsid w:val="00B6564E"/>
    <w:rsid w:val="00B65796"/>
    <w:rsid w:val="00B65DE1"/>
    <w:rsid w:val="00B65EE5"/>
    <w:rsid w:val="00B6625C"/>
    <w:rsid w:val="00B66279"/>
    <w:rsid w:val="00B665EE"/>
    <w:rsid w:val="00B6675C"/>
    <w:rsid w:val="00B66AA8"/>
    <w:rsid w:val="00B66AC4"/>
    <w:rsid w:val="00B66D74"/>
    <w:rsid w:val="00B66E4F"/>
    <w:rsid w:val="00B673AF"/>
    <w:rsid w:val="00B673C8"/>
    <w:rsid w:val="00B67489"/>
    <w:rsid w:val="00B67670"/>
    <w:rsid w:val="00B67752"/>
    <w:rsid w:val="00B67819"/>
    <w:rsid w:val="00B679AB"/>
    <w:rsid w:val="00B67BB3"/>
    <w:rsid w:val="00B67DEF"/>
    <w:rsid w:val="00B67F77"/>
    <w:rsid w:val="00B7017A"/>
    <w:rsid w:val="00B704BC"/>
    <w:rsid w:val="00B70793"/>
    <w:rsid w:val="00B708D2"/>
    <w:rsid w:val="00B70A46"/>
    <w:rsid w:val="00B70E74"/>
    <w:rsid w:val="00B71548"/>
    <w:rsid w:val="00B71562"/>
    <w:rsid w:val="00B717F2"/>
    <w:rsid w:val="00B71B6C"/>
    <w:rsid w:val="00B71B76"/>
    <w:rsid w:val="00B72081"/>
    <w:rsid w:val="00B7210E"/>
    <w:rsid w:val="00B72399"/>
    <w:rsid w:val="00B72407"/>
    <w:rsid w:val="00B72518"/>
    <w:rsid w:val="00B72830"/>
    <w:rsid w:val="00B728F7"/>
    <w:rsid w:val="00B72C2B"/>
    <w:rsid w:val="00B72D17"/>
    <w:rsid w:val="00B72F2E"/>
    <w:rsid w:val="00B73423"/>
    <w:rsid w:val="00B73739"/>
    <w:rsid w:val="00B73ED9"/>
    <w:rsid w:val="00B748F2"/>
    <w:rsid w:val="00B74CB7"/>
    <w:rsid w:val="00B75344"/>
    <w:rsid w:val="00B75924"/>
    <w:rsid w:val="00B75C80"/>
    <w:rsid w:val="00B76209"/>
    <w:rsid w:val="00B76905"/>
    <w:rsid w:val="00B76B08"/>
    <w:rsid w:val="00B770E5"/>
    <w:rsid w:val="00B775BB"/>
    <w:rsid w:val="00B77C90"/>
    <w:rsid w:val="00B8037A"/>
    <w:rsid w:val="00B8081F"/>
    <w:rsid w:val="00B80D01"/>
    <w:rsid w:val="00B80D36"/>
    <w:rsid w:val="00B80D7C"/>
    <w:rsid w:val="00B80E84"/>
    <w:rsid w:val="00B80EDC"/>
    <w:rsid w:val="00B811E9"/>
    <w:rsid w:val="00B81373"/>
    <w:rsid w:val="00B818AD"/>
    <w:rsid w:val="00B81952"/>
    <w:rsid w:val="00B81B0C"/>
    <w:rsid w:val="00B81FD7"/>
    <w:rsid w:val="00B82149"/>
    <w:rsid w:val="00B82350"/>
    <w:rsid w:val="00B82B57"/>
    <w:rsid w:val="00B82D39"/>
    <w:rsid w:val="00B830D6"/>
    <w:rsid w:val="00B834D8"/>
    <w:rsid w:val="00B836FE"/>
    <w:rsid w:val="00B83BF1"/>
    <w:rsid w:val="00B83CF2"/>
    <w:rsid w:val="00B83E7C"/>
    <w:rsid w:val="00B83FDD"/>
    <w:rsid w:val="00B84009"/>
    <w:rsid w:val="00B841DC"/>
    <w:rsid w:val="00B84700"/>
    <w:rsid w:val="00B84814"/>
    <w:rsid w:val="00B8492B"/>
    <w:rsid w:val="00B85076"/>
    <w:rsid w:val="00B851C0"/>
    <w:rsid w:val="00B854C3"/>
    <w:rsid w:val="00B854E2"/>
    <w:rsid w:val="00B8553E"/>
    <w:rsid w:val="00B8556B"/>
    <w:rsid w:val="00B8557E"/>
    <w:rsid w:val="00B85AE4"/>
    <w:rsid w:val="00B85D7F"/>
    <w:rsid w:val="00B86435"/>
    <w:rsid w:val="00B86938"/>
    <w:rsid w:val="00B86A70"/>
    <w:rsid w:val="00B86AD0"/>
    <w:rsid w:val="00B86D47"/>
    <w:rsid w:val="00B86DF2"/>
    <w:rsid w:val="00B86F70"/>
    <w:rsid w:val="00B87587"/>
    <w:rsid w:val="00B878D8"/>
    <w:rsid w:val="00B87927"/>
    <w:rsid w:val="00B87A23"/>
    <w:rsid w:val="00B87BAC"/>
    <w:rsid w:val="00B90282"/>
    <w:rsid w:val="00B909DD"/>
    <w:rsid w:val="00B90B1D"/>
    <w:rsid w:val="00B90C1F"/>
    <w:rsid w:val="00B90C97"/>
    <w:rsid w:val="00B911CE"/>
    <w:rsid w:val="00B9124F"/>
    <w:rsid w:val="00B917B1"/>
    <w:rsid w:val="00B917D0"/>
    <w:rsid w:val="00B9198D"/>
    <w:rsid w:val="00B91ADD"/>
    <w:rsid w:val="00B9215E"/>
    <w:rsid w:val="00B92694"/>
    <w:rsid w:val="00B92E96"/>
    <w:rsid w:val="00B92EE4"/>
    <w:rsid w:val="00B92F43"/>
    <w:rsid w:val="00B9327D"/>
    <w:rsid w:val="00B932AC"/>
    <w:rsid w:val="00B934BE"/>
    <w:rsid w:val="00B93A5A"/>
    <w:rsid w:val="00B93ACA"/>
    <w:rsid w:val="00B93C52"/>
    <w:rsid w:val="00B93E7D"/>
    <w:rsid w:val="00B94304"/>
    <w:rsid w:val="00B94BAD"/>
    <w:rsid w:val="00B95069"/>
    <w:rsid w:val="00B961A3"/>
    <w:rsid w:val="00B96393"/>
    <w:rsid w:val="00B963E9"/>
    <w:rsid w:val="00B96421"/>
    <w:rsid w:val="00B96619"/>
    <w:rsid w:val="00B96632"/>
    <w:rsid w:val="00B966B6"/>
    <w:rsid w:val="00B9697F"/>
    <w:rsid w:val="00B96BFD"/>
    <w:rsid w:val="00B96E03"/>
    <w:rsid w:val="00B96FF5"/>
    <w:rsid w:val="00B970E9"/>
    <w:rsid w:val="00B974E6"/>
    <w:rsid w:val="00B9751B"/>
    <w:rsid w:val="00B979EB"/>
    <w:rsid w:val="00BA084C"/>
    <w:rsid w:val="00BA0C8E"/>
    <w:rsid w:val="00BA0C93"/>
    <w:rsid w:val="00BA16D6"/>
    <w:rsid w:val="00BA1C51"/>
    <w:rsid w:val="00BA20B9"/>
    <w:rsid w:val="00BA225B"/>
    <w:rsid w:val="00BA2271"/>
    <w:rsid w:val="00BA255F"/>
    <w:rsid w:val="00BA2AD8"/>
    <w:rsid w:val="00BA2C8F"/>
    <w:rsid w:val="00BA33BD"/>
    <w:rsid w:val="00BA380D"/>
    <w:rsid w:val="00BA38A4"/>
    <w:rsid w:val="00BA38CB"/>
    <w:rsid w:val="00BA425B"/>
    <w:rsid w:val="00BA42E0"/>
    <w:rsid w:val="00BA49AB"/>
    <w:rsid w:val="00BA4D64"/>
    <w:rsid w:val="00BA540F"/>
    <w:rsid w:val="00BA584C"/>
    <w:rsid w:val="00BA597D"/>
    <w:rsid w:val="00BA5DDE"/>
    <w:rsid w:val="00BA60D7"/>
    <w:rsid w:val="00BA6526"/>
    <w:rsid w:val="00BA6780"/>
    <w:rsid w:val="00BA6CFC"/>
    <w:rsid w:val="00BA6FC7"/>
    <w:rsid w:val="00BA7235"/>
    <w:rsid w:val="00BA78F1"/>
    <w:rsid w:val="00BA7B58"/>
    <w:rsid w:val="00BA7CF2"/>
    <w:rsid w:val="00BA7D33"/>
    <w:rsid w:val="00BA7FA4"/>
    <w:rsid w:val="00BB0174"/>
    <w:rsid w:val="00BB074E"/>
    <w:rsid w:val="00BB0C81"/>
    <w:rsid w:val="00BB0F44"/>
    <w:rsid w:val="00BB0FDD"/>
    <w:rsid w:val="00BB100E"/>
    <w:rsid w:val="00BB14E1"/>
    <w:rsid w:val="00BB15E5"/>
    <w:rsid w:val="00BB169E"/>
    <w:rsid w:val="00BB186C"/>
    <w:rsid w:val="00BB188C"/>
    <w:rsid w:val="00BB1C16"/>
    <w:rsid w:val="00BB2200"/>
    <w:rsid w:val="00BB2526"/>
    <w:rsid w:val="00BB2D95"/>
    <w:rsid w:val="00BB2F6F"/>
    <w:rsid w:val="00BB2F71"/>
    <w:rsid w:val="00BB31B1"/>
    <w:rsid w:val="00BB35E1"/>
    <w:rsid w:val="00BB3795"/>
    <w:rsid w:val="00BB3926"/>
    <w:rsid w:val="00BB3FF4"/>
    <w:rsid w:val="00BB4032"/>
    <w:rsid w:val="00BB433E"/>
    <w:rsid w:val="00BB4B4D"/>
    <w:rsid w:val="00BB4B57"/>
    <w:rsid w:val="00BB4C4A"/>
    <w:rsid w:val="00BB4FA4"/>
    <w:rsid w:val="00BB52A6"/>
    <w:rsid w:val="00BB557E"/>
    <w:rsid w:val="00BB5AE0"/>
    <w:rsid w:val="00BB5E4B"/>
    <w:rsid w:val="00BB60E0"/>
    <w:rsid w:val="00BB6260"/>
    <w:rsid w:val="00BB6272"/>
    <w:rsid w:val="00BB6979"/>
    <w:rsid w:val="00BB6C6D"/>
    <w:rsid w:val="00BB6D2C"/>
    <w:rsid w:val="00BB6D2D"/>
    <w:rsid w:val="00BB6D55"/>
    <w:rsid w:val="00BB6ECE"/>
    <w:rsid w:val="00BB6F67"/>
    <w:rsid w:val="00BB7191"/>
    <w:rsid w:val="00BB7A3A"/>
    <w:rsid w:val="00BC04CF"/>
    <w:rsid w:val="00BC0B3F"/>
    <w:rsid w:val="00BC0E48"/>
    <w:rsid w:val="00BC1267"/>
    <w:rsid w:val="00BC1325"/>
    <w:rsid w:val="00BC198F"/>
    <w:rsid w:val="00BC1D06"/>
    <w:rsid w:val="00BC1FD4"/>
    <w:rsid w:val="00BC2074"/>
    <w:rsid w:val="00BC218D"/>
    <w:rsid w:val="00BC255D"/>
    <w:rsid w:val="00BC25F2"/>
    <w:rsid w:val="00BC2A7D"/>
    <w:rsid w:val="00BC2AFA"/>
    <w:rsid w:val="00BC2ECE"/>
    <w:rsid w:val="00BC3009"/>
    <w:rsid w:val="00BC3073"/>
    <w:rsid w:val="00BC327E"/>
    <w:rsid w:val="00BC37F0"/>
    <w:rsid w:val="00BC397C"/>
    <w:rsid w:val="00BC3D6E"/>
    <w:rsid w:val="00BC4572"/>
    <w:rsid w:val="00BC47CC"/>
    <w:rsid w:val="00BC5172"/>
    <w:rsid w:val="00BC5273"/>
    <w:rsid w:val="00BC5547"/>
    <w:rsid w:val="00BC5605"/>
    <w:rsid w:val="00BC56C3"/>
    <w:rsid w:val="00BC57B3"/>
    <w:rsid w:val="00BC583F"/>
    <w:rsid w:val="00BC58D3"/>
    <w:rsid w:val="00BC5A85"/>
    <w:rsid w:val="00BC61AD"/>
    <w:rsid w:val="00BC6524"/>
    <w:rsid w:val="00BC65D4"/>
    <w:rsid w:val="00BC6724"/>
    <w:rsid w:val="00BC6798"/>
    <w:rsid w:val="00BC6866"/>
    <w:rsid w:val="00BC6902"/>
    <w:rsid w:val="00BC73A6"/>
    <w:rsid w:val="00BC747F"/>
    <w:rsid w:val="00BC7D0C"/>
    <w:rsid w:val="00BC7D35"/>
    <w:rsid w:val="00BD01C2"/>
    <w:rsid w:val="00BD0342"/>
    <w:rsid w:val="00BD0546"/>
    <w:rsid w:val="00BD080E"/>
    <w:rsid w:val="00BD0B6D"/>
    <w:rsid w:val="00BD0CE5"/>
    <w:rsid w:val="00BD0D3B"/>
    <w:rsid w:val="00BD1008"/>
    <w:rsid w:val="00BD1195"/>
    <w:rsid w:val="00BD1401"/>
    <w:rsid w:val="00BD1CC3"/>
    <w:rsid w:val="00BD1D0B"/>
    <w:rsid w:val="00BD1DF8"/>
    <w:rsid w:val="00BD204A"/>
    <w:rsid w:val="00BD26AA"/>
    <w:rsid w:val="00BD26C6"/>
    <w:rsid w:val="00BD2A79"/>
    <w:rsid w:val="00BD2AD8"/>
    <w:rsid w:val="00BD2C08"/>
    <w:rsid w:val="00BD2D6B"/>
    <w:rsid w:val="00BD3194"/>
    <w:rsid w:val="00BD32B3"/>
    <w:rsid w:val="00BD33F5"/>
    <w:rsid w:val="00BD352D"/>
    <w:rsid w:val="00BD35D1"/>
    <w:rsid w:val="00BD36A8"/>
    <w:rsid w:val="00BD36A9"/>
    <w:rsid w:val="00BD3799"/>
    <w:rsid w:val="00BD3B40"/>
    <w:rsid w:val="00BD3E13"/>
    <w:rsid w:val="00BD4473"/>
    <w:rsid w:val="00BD44F0"/>
    <w:rsid w:val="00BD454F"/>
    <w:rsid w:val="00BD4C73"/>
    <w:rsid w:val="00BD4CF4"/>
    <w:rsid w:val="00BD4ECF"/>
    <w:rsid w:val="00BD4FEC"/>
    <w:rsid w:val="00BD51CE"/>
    <w:rsid w:val="00BD5382"/>
    <w:rsid w:val="00BD554A"/>
    <w:rsid w:val="00BD5A4C"/>
    <w:rsid w:val="00BD5D97"/>
    <w:rsid w:val="00BD5DFA"/>
    <w:rsid w:val="00BD60C0"/>
    <w:rsid w:val="00BD6851"/>
    <w:rsid w:val="00BD6BF5"/>
    <w:rsid w:val="00BD6C82"/>
    <w:rsid w:val="00BD6C89"/>
    <w:rsid w:val="00BD6C8F"/>
    <w:rsid w:val="00BD6E14"/>
    <w:rsid w:val="00BD6E54"/>
    <w:rsid w:val="00BD6E5A"/>
    <w:rsid w:val="00BD6FEC"/>
    <w:rsid w:val="00BD707F"/>
    <w:rsid w:val="00BD770A"/>
    <w:rsid w:val="00BD7A70"/>
    <w:rsid w:val="00BD7A91"/>
    <w:rsid w:val="00BD7DAC"/>
    <w:rsid w:val="00BE00AC"/>
    <w:rsid w:val="00BE084D"/>
    <w:rsid w:val="00BE0899"/>
    <w:rsid w:val="00BE0AB5"/>
    <w:rsid w:val="00BE0B15"/>
    <w:rsid w:val="00BE0B40"/>
    <w:rsid w:val="00BE0CA3"/>
    <w:rsid w:val="00BE0CA9"/>
    <w:rsid w:val="00BE0DDC"/>
    <w:rsid w:val="00BE0F10"/>
    <w:rsid w:val="00BE1082"/>
    <w:rsid w:val="00BE1588"/>
    <w:rsid w:val="00BE15CD"/>
    <w:rsid w:val="00BE16B3"/>
    <w:rsid w:val="00BE1AB4"/>
    <w:rsid w:val="00BE2AB3"/>
    <w:rsid w:val="00BE2B96"/>
    <w:rsid w:val="00BE313F"/>
    <w:rsid w:val="00BE319E"/>
    <w:rsid w:val="00BE322D"/>
    <w:rsid w:val="00BE395B"/>
    <w:rsid w:val="00BE3B1B"/>
    <w:rsid w:val="00BE3CFE"/>
    <w:rsid w:val="00BE3CFF"/>
    <w:rsid w:val="00BE46CC"/>
    <w:rsid w:val="00BE4DBE"/>
    <w:rsid w:val="00BE5241"/>
    <w:rsid w:val="00BE52DC"/>
    <w:rsid w:val="00BE56C9"/>
    <w:rsid w:val="00BE5801"/>
    <w:rsid w:val="00BE5B02"/>
    <w:rsid w:val="00BE6281"/>
    <w:rsid w:val="00BE6512"/>
    <w:rsid w:val="00BE685B"/>
    <w:rsid w:val="00BE6940"/>
    <w:rsid w:val="00BE6E4F"/>
    <w:rsid w:val="00BE6F61"/>
    <w:rsid w:val="00BE7023"/>
    <w:rsid w:val="00BE7057"/>
    <w:rsid w:val="00BE77D4"/>
    <w:rsid w:val="00BE7936"/>
    <w:rsid w:val="00BE7B6D"/>
    <w:rsid w:val="00BE7CCF"/>
    <w:rsid w:val="00BE7D2A"/>
    <w:rsid w:val="00BE7D4B"/>
    <w:rsid w:val="00BE7DE3"/>
    <w:rsid w:val="00BE7F87"/>
    <w:rsid w:val="00BF0106"/>
    <w:rsid w:val="00BF0650"/>
    <w:rsid w:val="00BF094C"/>
    <w:rsid w:val="00BF0A77"/>
    <w:rsid w:val="00BF0B34"/>
    <w:rsid w:val="00BF0DC4"/>
    <w:rsid w:val="00BF0FDE"/>
    <w:rsid w:val="00BF1091"/>
    <w:rsid w:val="00BF1158"/>
    <w:rsid w:val="00BF1172"/>
    <w:rsid w:val="00BF11EA"/>
    <w:rsid w:val="00BF1470"/>
    <w:rsid w:val="00BF192A"/>
    <w:rsid w:val="00BF211C"/>
    <w:rsid w:val="00BF22D2"/>
    <w:rsid w:val="00BF239C"/>
    <w:rsid w:val="00BF29FD"/>
    <w:rsid w:val="00BF2C25"/>
    <w:rsid w:val="00BF32E8"/>
    <w:rsid w:val="00BF3DC6"/>
    <w:rsid w:val="00BF3F42"/>
    <w:rsid w:val="00BF3F5F"/>
    <w:rsid w:val="00BF3FC5"/>
    <w:rsid w:val="00BF436D"/>
    <w:rsid w:val="00BF4431"/>
    <w:rsid w:val="00BF4465"/>
    <w:rsid w:val="00BF450F"/>
    <w:rsid w:val="00BF47A1"/>
    <w:rsid w:val="00BF47E0"/>
    <w:rsid w:val="00BF4812"/>
    <w:rsid w:val="00BF49E7"/>
    <w:rsid w:val="00BF4D7E"/>
    <w:rsid w:val="00BF4FC7"/>
    <w:rsid w:val="00BF514D"/>
    <w:rsid w:val="00BF51B4"/>
    <w:rsid w:val="00BF5246"/>
    <w:rsid w:val="00BF56E8"/>
    <w:rsid w:val="00BF5955"/>
    <w:rsid w:val="00BF5CBF"/>
    <w:rsid w:val="00BF5D56"/>
    <w:rsid w:val="00BF6BFA"/>
    <w:rsid w:val="00BF6C28"/>
    <w:rsid w:val="00BF71F5"/>
    <w:rsid w:val="00BF72CD"/>
    <w:rsid w:val="00BF76F8"/>
    <w:rsid w:val="00BF7A22"/>
    <w:rsid w:val="00BF7CEB"/>
    <w:rsid w:val="00BF7DBF"/>
    <w:rsid w:val="00C00174"/>
    <w:rsid w:val="00C0042C"/>
    <w:rsid w:val="00C005A5"/>
    <w:rsid w:val="00C0078B"/>
    <w:rsid w:val="00C00D4A"/>
    <w:rsid w:val="00C011BE"/>
    <w:rsid w:val="00C01430"/>
    <w:rsid w:val="00C01578"/>
    <w:rsid w:val="00C018E1"/>
    <w:rsid w:val="00C01D73"/>
    <w:rsid w:val="00C01D7B"/>
    <w:rsid w:val="00C01DCC"/>
    <w:rsid w:val="00C023DD"/>
    <w:rsid w:val="00C02426"/>
    <w:rsid w:val="00C0254B"/>
    <w:rsid w:val="00C0271B"/>
    <w:rsid w:val="00C02CAF"/>
    <w:rsid w:val="00C03170"/>
    <w:rsid w:val="00C031D4"/>
    <w:rsid w:val="00C032A7"/>
    <w:rsid w:val="00C033F3"/>
    <w:rsid w:val="00C03530"/>
    <w:rsid w:val="00C0354A"/>
    <w:rsid w:val="00C0384A"/>
    <w:rsid w:val="00C039D9"/>
    <w:rsid w:val="00C03D7B"/>
    <w:rsid w:val="00C03DB9"/>
    <w:rsid w:val="00C04271"/>
    <w:rsid w:val="00C04602"/>
    <w:rsid w:val="00C04BC2"/>
    <w:rsid w:val="00C04BD7"/>
    <w:rsid w:val="00C04D05"/>
    <w:rsid w:val="00C04DEF"/>
    <w:rsid w:val="00C050DA"/>
    <w:rsid w:val="00C059AD"/>
    <w:rsid w:val="00C06587"/>
    <w:rsid w:val="00C06639"/>
    <w:rsid w:val="00C06972"/>
    <w:rsid w:val="00C06FD6"/>
    <w:rsid w:val="00C07237"/>
    <w:rsid w:val="00C073CA"/>
    <w:rsid w:val="00C07962"/>
    <w:rsid w:val="00C07983"/>
    <w:rsid w:val="00C10AE9"/>
    <w:rsid w:val="00C10C8D"/>
    <w:rsid w:val="00C10ED6"/>
    <w:rsid w:val="00C1157E"/>
    <w:rsid w:val="00C118ED"/>
    <w:rsid w:val="00C1233F"/>
    <w:rsid w:val="00C12421"/>
    <w:rsid w:val="00C127D7"/>
    <w:rsid w:val="00C127DB"/>
    <w:rsid w:val="00C12C3C"/>
    <w:rsid w:val="00C12DF7"/>
    <w:rsid w:val="00C12EAF"/>
    <w:rsid w:val="00C13B5A"/>
    <w:rsid w:val="00C13E0E"/>
    <w:rsid w:val="00C13EF0"/>
    <w:rsid w:val="00C13F28"/>
    <w:rsid w:val="00C14201"/>
    <w:rsid w:val="00C14274"/>
    <w:rsid w:val="00C149D6"/>
    <w:rsid w:val="00C15058"/>
    <w:rsid w:val="00C1528A"/>
    <w:rsid w:val="00C15494"/>
    <w:rsid w:val="00C1558F"/>
    <w:rsid w:val="00C158F8"/>
    <w:rsid w:val="00C15A17"/>
    <w:rsid w:val="00C15AE7"/>
    <w:rsid w:val="00C15BE1"/>
    <w:rsid w:val="00C15E43"/>
    <w:rsid w:val="00C16248"/>
    <w:rsid w:val="00C166BA"/>
    <w:rsid w:val="00C167F8"/>
    <w:rsid w:val="00C16B3A"/>
    <w:rsid w:val="00C16BB2"/>
    <w:rsid w:val="00C16F6D"/>
    <w:rsid w:val="00C16FD9"/>
    <w:rsid w:val="00C17130"/>
    <w:rsid w:val="00C17678"/>
    <w:rsid w:val="00C17ADA"/>
    <w:rsid w:val="00C17C02"/>
    <w:rsid w:val="00C17CBD"/>
    <w:rsid w:val="00C17D99"/>
    <w:rsid w:val="00C17F49"/>
    <w:rsid w:val="00C200CC"/>
    <w:rsid w:val="00C20172"/>
    <w:rsid w:val="00C20206"/>
    <w:rsid w:val="00C202B3"/>
    <w:rsid w:val="00C202F4"/>
    <w:rsid w:val="00C207C7"/>
    <w:rsid w:val="00C2120B"/>
    <w:rsid w:val="00C219BD"/>
    <w:rsid w:val="00C21BEA"/>
    <w:rsid w:val="00C21C59"/>
    <w:rsid w:val="00C21EE0"/>
    <w:rsid w:val="00C22072"/>
    <w:rsid w:val="00C22326"/>
    <w:rsid w:val="00C2242A"/>
    <w:rsid w:val="00C22437"/>
    <w:rsid w:val="00C227A6"/>
    <w:rsid w:val="00C2280B"/>
    <w:rsid w:val="00C2296A"/>
    <w:rsid w:val="00C22A18"/>
    <w:rsid w:val="00C22AD9"/>
    <w:rsid w:val="00C22E86"/>
    <w:rsid w:val="00C22F8C"/>
    <w:rsid w:val="00C2374A"/>
    <w:rsid w:val="00C23AF3"/>
    <w:rsid w:val="00C23DA8"/>
    <w:rsid w:val="00C24068"/>
    <w:rsid w:val="00C24291"/>
    <w:rsid w:val="00C2464A"/>
    <w:rsid w:val="00C2464C"/>
    <w:rsid w:val="00C247E3"/>
    <w:rsid w:val="00C24FAA"/>
    <w:rsid w:val="00C25605"/>
    <w:rsid w:val="00C257EE"/>
    <w:rsid w:val="00C259B3"/>
    <w:rsid w:val="00C261E1"/>
    <w:rsid w:val="00C26427"/>
    <w:rsid w:val="00C2652D"/>
    <w:rsid w:val="00C26A4B"/>
    <w:rsid w:val="00C26A52"/>
    <w:rsid w:val="00C26BDC"/>
    <w:rsid w:val="00C26D13"/>
    <w:rsid w:val="00C27B26"/>
    <w:rsid w:val="00C27DA2"/>
    <w:rsid w:val="00C27E60"/>
    <w:rsid w:val="00C27E68"/>
    <w:rsid w:val="00C300DB"/>
    <w:rsid w:val="00C30270"/>
    <w:rsid w:val="00C30297"/>
    <w:rsid w:val="00C3037C"/>
    <w:rsid w:val="00C30A4D"/>
    <w:rsid w:val="00C30BDF"/>
    <w:rsid w:val="00C30DD0"/>
    <w:rsid w:val="00C30ED0"/>
    <w:rsid w:val="00C31266"/>
    <w:rsid w:val="00C3135D"/>
    <w:rsid w:val="00C3137B"/>
    <w:rsid w:val="00C314F4"/>
    <w:rsid w:val="00C315E4"/>
    <w:rsid w:val="00C31996"/>
    <w:rsid w:val="00C31AB9"/>
    <w:rsid w:val="00C31CF0"/>
    <w:rsid w:val="00C31EE6"/>
    <w:rsid w:val="00C32118"/>
    <w:rsid w:val="00C32167"/>
    <w:rsid w:val="00C324ED"/>
    <w:rsid w:val="00C324F9"/>
    <w:rsid w:val="00C328A5"/>
    <w:rsid w:val="00C32B05"/>
    <w:rsid w:val="00C33498"/>
    <w:rsid w:val="00C34009"/>
    <w:rsid w:val="00C34960"/>
    <w:rsid w:val="00C349E9"/>
    <w:rsid w:val="00C34CF9"/>
    <w:rsid w:val="00C34DC8"/>
    <w:rsid w:val="00C354CA"/>
    <w:rsid w:val="00C356C2"/>
    <w:rsid w:val="00C35AFF"/>
    <w:rsid w:val="00C35D7E"/>
    <w:rsid w:val="00C35F52"/>
    <w:rsid w:val="00C35FA9"/>
    <w:rsid w:val="00C361A9"/>
    <w:rsid w:val="00C363DD"/>
    <w:rsid w:val="00C36B10"/>
    <w:rsid w:val="00C36BCB"/>
    <w:rsid w:val="00C36EAD"/>
    <w:rsid w:val="00C37171"/>
    <w:rsid w:val="00C37664"/>
    <w:rsid w:val="00C37C1E"/>
    <w:rsid w:val="00C37C71"/>
    <w:rsid w:val="00C407BB"/>
    <w:rsid w:val="00C408CD"/>
    <w:rsid w:val="00C40D48"/>
    <w:rsid w:val="00C41039"/>
    <w:rsid w:val="00C41313"/>
    <w:rsid w:val="00C413AB"/>
    <w:rsid w:val="00C417B3"/>
    <w:rsid w:val="00C41AAE"/>
    <w:rsid w:val="00C41C52"/>
    <w:rsid w:val="00C41DFF"/>
    <w:rsid w:val="00C42A82"/>
    <w:rsid w:val="00C42ADE"/>
    <w:rsid w:val="00C42C52"/>
    <w:rsid w:val="00C43163"/>
    <w:rsid w:val="00C43CC0"/>
    <w:rsid w:val="00C44197"/>
    <w:rsid w:val="00C44A5B"/>
    <w:rsid w:val="00C44BF9"/>
    <w:rsid w:val="00C44FE4"/>
    <w:rsid w:val="00C45467"/>
    <w:rsid w:val="00C45497"/>
    <w:rsid w:val="00C45756"/>
    <w:rsid w:val="00C4614C"/>
    <w:rsid w:val="00C46553"/>
    <w:rsid w:val="00C467C2"/>
    <w:rsid w:val="00C46DC8"/>
    <w:rsid w:val="00C46E81"/>
    <w:rsid w:val="00C46F53"/>
    <w:rsid w:val="00C4708C"/>
    <w:rsid w:val="00C478D7"/>
    <w:rsid w:val="00C478E2"/>
    <w:rsid w:val="00C47AE1"/>
    <w:rsid w:val="00C47C4B"/>
    <w:rsid w:val="00C47EAF"/>
    <w:rsid w:val="00C47F77"/>
    <w:rsid w:val="00C47FDF"/>
    <w:rsid w:val="00C50267"/>
    <w:rsid w:val="00C50AFA"/>
    <w:rsid w:val="00C50F3D"/>
    <w:rsid w:val="00C51778"/>
    <w:rsid w:val="00C51B92"/>
    <w:rsid w:val="00C51E68"/>
    <w:rsid w:val="00C5219D"/>
    <w:rsid w:val="00C521BC"/>
    <w:rsid w:val="00C52B34"/>
    <w:rsid w:val="00C52D02"/>
    <w:rsid w:val="00C52D30"/>
    <w:rsid w:val="00C53755"/>
    <w:rsid w:val="00C53AE5"/>
    <w:rsid w:val="00C54231"/>
    <w:rsid w:val="00C54328"/>
    <w:rsid w:val="00C54712"/>
    <w:rsid w:val="00C54763"/>
    <w:rsid w:val="00C547A7"/>
    <w:rsid w:val="00C551F5"/>
    <w:rsid w:val="00C5524B"/>
    <w:rsid w:val="00C55A6D"/>
    <w:rsid w:val="00C55B8D"/>
    <w:rsid w:val="00C55C61"/>
    <w:rsid w:val="00C55D3A"/>
    <w:rsid w:val="00C5606D"/>
    <w:rsid w:val="00C560CC"/>
    <w:rsid w:val="00C5615B"/>
    <w:rsid w:val="00C56408"/>
    <w:rsid w:val="00C56907"/>
    <w:rsid w:val="00C56CF7"/>
    <w:rsid w:val="00C57093"/>
    <w:rsid w:val="00C5722C"/>
    <w:rsid w:val="00C57351"/>
    <w:rsid w:val="00C57575"/>
    <w:rsid w:val="00C57A1A"/>
    <w:rsid w:val="00C57F5C"/>
    <w:rsid w:val="00C57F90"/>
    <w:rsid w:val="00C601A3"/>
    <w:rsid w:val="00C604AA"/>
    <w:rsid w:val="00C6051A"/>
    <w:rsid w:val="00C606AD"/>
    <w:rsid w:val="00C607BF"/>
    <w:rsid w:val="00C609EC"/>
    <w:rsid w:val="00C60EDE"/>
    <w:rsid w:val="00C610C1"/>
    <w:rsid w:val="00C61320"/>
    <w:rsid w:val="00C618DA"/>
    <w:rsid w:val="00C61903"/>
    <w:rsid w:val="00C62522"/>
    <w:rsid w:val="00C62FE8"/>
    <w:rsid w:val="00C63A5C"/>
    <w:rsid w:val="00C63C8D"/>
    <w:rsid w:val="00C63D05"/>
    <w:rsid w:val="00C6466C"/>
    <w:rsid w:val="00C64917"/>
    <w:rsid w:val="00C649D3"/>
    <w:rsid w:val="00C64ADC"/>
    <w:rsid w:val="00C65039"/>
    <w:rsid w:val="00C6539F"/>
    <w:rsid w:val="00C6571E"/>
    <w:rsid w:val="00C6580C"/>
    <w:rsid w:val="00C658BA"/>
    <w:rsid w:val="00C65E76"/>
    <w:rsid w:val="00C66170"/>
    <w:rsid w:val="00C66565"/>
    <w:rsid w:val="00C66986"/>
    <w:rsid w:val="00C66FF1"/>
    <w:rsid w:val="00C6715A"/>
    <w:rsid w:val="00C67496"/>
    <w:rsid w:val="00C67544"/>
    <w:rsid w:val="00C6768F"/>
    <w:rsid w:val="00C67A2B"/>
    <w:rsid w:val="00C67B46"/>
    <w:rsid w:val="00C70765"/>
    <w:rsid w:val="00C708ED"/>
    <w:rsid w:val="00C70A6B"/>
    <w:rsid w:val="00C70F1F"/>
    <w:rsid w:val="00C714C8"/>
    <w:rsid w:val="00C71560"/>
    <w:rsid w:val="00C71A16"/>
    <w:rsid w:val="00C71A82"/>
    <w:rsid w:val="00C71B70"/>
    <w:rsid w:val="00C71DFE"/>
    <w:rsid w:val="00C71F03"/>
    <w:rsid w:val="00C71FD6"/>
    <w:rsid w:val="00C72318"/>
    <w:rsid w:val="00C724E6"/>
    <w:rsid w:val="00C72708"/>
    <w:rsid w:val="00C728C7"/>
    <w:rsid w:val="00C72EE6"/>
    <w:rsid w:val="00C72EF2"/>
    <w:rsid w:val="00C730A8"/>
    <w:rsid w:val="00C73140"/>
    <w:rsid w:val="00C732FF"/>
    <w:rsid w:val="00C734D2"/>
    <w:rsid w:val="00C73544"/>
    <w:rsid w:val="00C73D9D"/>
    <w:rsid w:val="00C73EB3"/>
    <w:rsid w:val="00C7437D"/>
    <w:rsid w:val="00C74413"/>
    <w:rsid w:val="00C744D0"/>
    <w:rsid w:val="00C74537"/>
    <w:rsid w:val="00C7469B"/>
    <w:rsid w:val="00C747A5"/>
    <w:rsid w:val="00C7485F"/>
    <w:rsid w:val="00C74A77"/>
    <w:rsid w:val="00C74D9F"/>
    <w:rsid w:val="00C74E91"/>
    <w:rsid w:val="00C75095"/>
    <w:rsid w:val="00C75379"/>
    <w:rsid w:val="00C7574D"/>
    <w:rsid w:val="00C7597C"/>
    <w:rsid w:val="00C759C9"/>
    <w:rsid w:val="00C75D00"/>
    <w:rsid w:val="00C7648A"/>
    <w:rsid w:val="00C7657F"/>
    <w:rsid w:val="00C7678A"/>
    <w:rsid w:val="00C76A12"/>
    <w:rsid w:val="00C76A8B"/>
    <w:rsid w:val="00C76B84"/>
    <w:rsid w:val="00C77314"/>
    <w:rsid w:val="00C777D9"/>
    <w:rsid w:val="00C77B4A"/>
    <w:rsid w:val="00C80235"/>
    <w:rsid w:val="00C80350"/>
    <w:rsid w:val="00C804EC"/>
    <w:rsid w:val="00C8059D"/>
    <w:rsid w:val="00C805EC"/>
    <w:rsid w:val="00C80736"/>
    <w:rsid w:val="00C807FB"/>
    <w:rsid w:val="00C80EFB"/>
    <w:rsid w:val="00C823BE"/>
    <w:rsid w:val="00C8241A"/>
    <w:rsid w:val="00C82580"/>
    <w:rsid w:val="00C8291D"/>
    <w:rsid w:val="00C82C90"/>
    <w:rsid w:val="00C82CC8"/>
    <w:rsid w:val="00C82EB2"/>
    <w:rsid w:val="00C83781"/>
    <w:rsid w:val="00C84079"/>
    <w:rsid w:val="00C846E4"/>
    <w:rsid w:val="00C84706"/>
    <w:rsid w:val="00C84D91"/>
    <w:rsid w:val="00C8502D"/>
    <w:rsid w:val="00C851CB"/>
    <w:rsid w:val="00C85314"/>
    <w:rsid w:val="00C85906"/>
    <w:rsid w:val="00C85B02"/>
    <w:rsid w:val="00C85B6C"/>
    <w:rsid w:val="00C85C8A"/>
    <w:rsid w:val="00C86164"/>
    <w:rsid w:val="00C86795"/>
    <w:rsid w:val="00C868A9"/>
    <w:rsid w:val="00C86BDE"/>
    <w:rsid w:val="00C86E99"/>
    <w:rsid w:val="00C87361"/>
    <w:rsid w:val="00C87413"/>
    <w:rsid w:val="00C87432"/>
    <w:rsid w:val="00C87EE7"/>
    <w:rsid w:val="00C901C6"/>
    <w:rsid w:val="00C903C7"/>
    <w:rsid w:val="00C904A0"/>
    <w:rsid w:val="00C904A6"/>
    <w:rsid w:val="00C90B31"/>
    <w:rsid w:val="00C90CD1"/>
    <w:rsid w:val="00C90F9D"/>
    <w:rsid w:val="00C910DF"/>
    <w:rsid w:val="00C9123F"/>
    <w:rsid w:val="00C91345"/>
    <w:rsid w:val="00C913FD"/>
    <w:rsid w:val="00C914DA"/>
    <w:rsid w:val="00C9152D"/>
    <w:rsid w:val="00C918C8"/>
    <w:rsid w:val="00C91951"/>
    <w:rsid w:val="00C91A29"/>
    <w:rsid w:val="00C92231"/>
    <w:rsid w:val="00C925C4"/>
    <w:rsid w:val="00C92F95"/>
    <w:rsid w:val="00C93603"/>
    <w:rsid w:val="00C93854"/>
    <w:rsid w:val="00C9386C"/>
    <w:rsid w:val="00C93E94"/>
    <w:rsid w:val="00C94142"/>
    <w:rsid w:val="00C94180"/>
    <w:rsid w:val="00C9427F"/>
    <w:rsid w:val="00C94303"/>
    <w:rsid w:val="00C94334"/>
    <w:rsid w:val="00C94647"/>
    <w:rsid w:val="00C94937"/>
    <w:rsid w:val="00C94CCF"/>
    <w:rsid w:val="00C94CE4"/>
    <w:rsid w:val="00C94EDB"/>
    <w:rsid w:val="00C95A32"/>
    <w:rsid w:val="00C95F20"/>
    <w:rsid w:val="00C962B1"/>
    <w:rsid w:val="00C96A6D"/>
    <w:rsid w:val="00C9774D"/>
    <w:rsid w:val="00CA0116"/>
    <w:rsid w:val="00CA0269"/>
    <w:rsid w:val="00CA041E"/>
    <w:rsid w:val="00CA04D9"/>
    <w:rsid w:val="00CA0677"/>
    <w:rsid w:val="00CA0A26"/>
    <w:rsid w:val="00CA1AE1"/>
    <w:rsid w:val="00CA1ECA"/>
    <w:rsid w:val="00CA203E"/>
    <w:rsid w:val="00CA2956"/>
    <w:rsid w:val="00CA297C"/>
    <w:rsid w:val="00CA2B66"/>
    <w:rsid w:val="00CA351E"/>
    <w:rsid w:val="00CA377B"/>
    <w:rsid w:val="00CA3890"/>
    <w:rsid w:val="00CA3BE9"/>
    <w:rsid w:val="00CA4230"/>
    <w:rsid w:val="00CA4259"/>
    <w:rsid w:val="00CA42C6"/>
    <w:rsid w:val="00CA4586"/>
    <w:rsid w:val="00CA4BC0"/>
    <w:rsid w:val="00CA4E2C"/>
    <w:rsid w:val="00CA53BA"/>
    <w:rsid w:val="00CA57F0"/>
    <w:rsid w:val="00CA58BC"/>
    <w:rsid w:val="00CA59B4"/>
    <w:rsid w:val="00CA5C49"/>
    <w:rsid w:val="00CA5CA8"/>
    <w:rsid w:val="00CA6115"/>
    <w:rsid w:val="00CA653F"/>
    <w:rsid w:val="00CA6AF0"/>
    <w:rsid w:val="00CA6D61"/>
    <w:rsid w:val="00CB0157"/>
    <w:rsid w:val="00CB0467"/>
    <w:rsid w:val="00CB05DE"/>
    <w:rsid w:val="00CB0744"/>
    <w:rsid w:val="00CB080A"/>
    <w:rsid w:val="00CB1311"/>
    <w:rsid w:val="00CB15AC"/>
    <w:rsid w:val="00CB2451"/>
    <w:rsid w:val="00CB2B15"/>
    <w:rsid w:val="00CB2BB7"/>
    <w:rsid w:val="00CB2E20"/>
    <w:rsid w:val="00CB2F60"/>
    <w:rsid w:val="00CB3100"/>
    <w:rsid w:val="00CB3209"/>
    <w:rsid w:val="00CB379B"/>
    <w:rsid w:val="00CB37AF"/>
    <w:rsid w:val="00CB39BA"/>
    <w:rsid w:val="00CB3A43"/>
    <w:rsid w:val="00CB3D97"/>
    <w:rsid w:val="00CB3F0E"/>
    <w:rsid w:val="00CB427F"/>
    <w:rsid w:val="00CB4344"/>
    <w:rsid w:val="00CB48B7"/>
    <w:rsid w:val="00CB4CEF"/>
    <w:rsid w:val="00CB4E66"/>
    <w:rsid w:val="00CB4F35"/>
    <w:rsid w:val="00CB5205"/>
    <w:rsid w:val="00CB54D9"/>
    <w:rsid w:val="00CB5613"/>
    <w:rsid w:val="00CB5823"/>
    <w:rsid w:val="00CB5D01"/>
    <w:rsid w:val="00CB61B7"/>
    <w:rsid w:val="00CB679D"/>
    <w:rsid w:val="00CB684E"/>
    <w:rsid w:val="00CB6C54"/>
    <w:rsid w:val="00CB6E16"/>
    <w:rsid w:val="00CB716E"/>
    <w:rsid w:val="00CB71E5"/>
    <w:rsid w:val="00CB723E"/>
    <w:rsid w:val="00CB7A5D"/>
    <w:rsid w:val="00CB7C57"/>
    <w:rsid w:val="00CC002E"/>
    <w:rsid w:val="00CC0828"/>
    <w:rsid w:val="00CC0AC8"/>
    <w:rsid w:val="00CC0AF1"/>
    <w:rsid w:val="00CC0CCD"/>
    <w:rsid w:val="00CC0D2B"/>
    <w:rsid w:val="00CC11D0"/>
    <w:rsid w:val="00CC12C0"/>
    <w:rsid w:val="00CC12C1"/>
    <w:rsid w:val="00CC1364"/>
    <w:rsid w:val="00CC1787"/>
    <w:rsid w:val="00CC1C3E"/>
    <w:rsid w:val="00CC1EA4"/>
    <w:rsid w:val="00CC2200"/>
    <w:rsid w:val="00CC2218"/>
    <w:rsid w:val="00CC2433"/>
    <w:rsid w:val="00CC2680"/>
    <w:rsid w:val="00CC26BC"/>
    <w:rsid w:val="00CC2908"/>
    <w:rsid w:val="00CC2BB0"/>
    <w:rsid w:val="00CC2E87"/>
    <w:rsid w:val="00CC2F4F"/>
    <w:rsid w:val="00CC39D4"/>
    <w:rsid w:val="00CC3D0A"/>
    <w:rsid w:val="00CC4060"/>
    <w:rsid w:val="00CC4088"/>
    <w:rsid w:val="00CC440C"/>
    <w:rsid w:val="00CC4465"/>
    <w:rsid w:val="00CC45EF"/>
    <w:rsid w:val="00CC4943"/>
    <w:rsid w:val="00CC4FAE"/>
    <w:rsid w:val="00CC559D"/>
    <w:rsid w:val="00CC56A6"/>
    <w:rsid w:val="00CC590D"/>
    <w:rsid w:val="00CC5FAC"/>
    <w:rsid w:val="00CC66FA"/>
    <w:rsid w:val="00CC683E"/>
    <w:rsid w:val="00CC749D"/>
    <w:rsid w:val="00CC75B9"/>
    <w:rsid w:val="00CC7951"/>
    <w:rsid w:val="00CC7A94"/>
    <w:rsid w:val="00CC7CBE"/>
    <w:rsid w:val="00CC7D16"/>
    <w:rsid w:val="00CC7D4E"/>
    <w:rsid w:val="00CC7E57"/>
    <w:rsid w:val="00CD0752"/>
    <w:rsid w:val="00CD0B5E"/>
    <w:rsid w:val="00CD1357"/>
    <w:rsid w:val="00CD1605"/>
    <w:rsid w:val="00CD1A03"/>
    <w:rsid w:val="00CD1A72"/>
    <w:rsid w:val="00CD1E34"/>
    <w:rsid w:val="00CD244F"/>
    <w:rsid w:val="00CD2BF6"/>
    <w:rsid w:val="00CD329F"/>
    <w:rsid w:val="00CD3B20"/>
    <w:rsid w:val="00CD3BC2"/>
    <w:rsid w:val="00CD3E83"/>
    <w:rsid w:val="00CD452A"/>
    <w:rsid w:val="00CD47A4"/>
    <w:rsid w:val="00CD487B"/>
    <w:rsid w:val="00CD48BE"/>
    <w:rsid w:val="00CD5096"/>
    <w:rsid w:val="00CD5122"/>
    <w:rsid w:val="00CD52CF"/>
    <w:rsid w:val="00CD5761"/>
    <w:rsid w:val="00CD5771"/>
    <w:rsid w:val="00CD57A7"/>
    <w:rsid w:val="00CD57FA"/>
    <w:rsid w:val="00CD5FB5"/>
    <w:rsid w:val="00CD6466"/>
    <w:rsid w:val="00CD654B"/>
    <w:rsid w:val="00CD7266"/>
    <w:rsid w:val="00CD7529"/>
    <w:rsid w:val="00CD75A3"/>
    <w:rsid w:val="00CD7957"/>
    <w:rsid w:val="00CD7E7A"/>
    <w:rsid w:val="00CD7EB5"/>
    <w:rsid w:val="00CD7F31"/>
    <w:rsid w:val="00CE01B7"/>
    <w:rsid w:val="00CE03C2"/>
    <w:rsid w:val="00CE046B"/>
    <w:rsid w:val="00CE04EF"/>
    <w:rsid w:val="00CE0671"/>
    <w:rsid w:val="00CE0850"/>
    <w:rsid w:val="00CE0B29"/>
    <w:rsid w:val="00CE1027"/>
    <w:rsid w:val="00CE154D"/>
    <w:rsid w:val="00CE15E9"/>
    <w:rsid w:val="00CE1946"/>
    <w:rsid w:val="00CE1A08"/>
    <w:rsid w:val="00CE223E"/>
    <w:rsid w:val="00CE2BE4"/>
    <w:rsid w:val="00CE33DA"/>
    <w:rsid w:val="00CE367B"/>
    <w:rsid w:val="00CE3DEC"/>
    <w:rsid w:val="00CE3ED6"/>
    <w:rsid w:val="00CE41E7"/>
    <w:rsid w:val="00CE435C"/>
    <w:rsid w:val="00CE4360"/>
    <w:rsid w:val="00CE455E"/>
    <w:rsid w:val="00CE45AE"/>
    <w:rsid w:val="00CE49AD"/>
    <w:rsid w:val="00CE5288"/>
    <w:rsid w:val="00CE52B6"/>
    <w:rsid w:val="00CE5357"/>
    <w:rsid w:val="00CE577A"/>
    <w:rsid w:val="00CE5ADC"/>
    <w:rsid w:val="00CE5E79"/>
    <w:rsid w:val="00CE61E9"/>
    <w:rsid w:val="00CE7093"/>
    <w:rsid w:val="00CE71A9"/>
    <w:rsid w:val="00CE7A76"/>
    <w:rsid w:val="00CE7BDB"/>
    <w:rsid w:val="00CF0B1A"/>
    <w:rsid w:val="00CF0DD3"/>
    <w:rsid w:val="00CF1334"/>
    <w:rsid w:val="00CF1668"/>
    <w:rsid w:val="00CF1914"/>
    <w:rsid w:val="00CF19C2"/>
    <w:rsid w:val="00CF19E4"/>
    <w:rsid w:val="00CF219E"/>
    <w:rsid w:val="00CF2317"/>
    <w:rsid w:val="00CF238D"/>
    <w:rsid w:val="00CF2626"/>
    <w:rsid w:val="00CF289A"/>
    <w:rsid w:val="00CF2AD1"/>
    <w:rsid w:val="00CF2D93"/>
    <w:rsid w:val="00CF2DCC"/>
    <w:rsid w:val="00CF2FE0"/>
    <w:rsid w:val="00CF3134"/>
    <w:rsid w:val="00CF31EE"/>
    <w:rsid w:val="00CF35D9"/>
    <w:rsid w:val="00CF3BF4"/>
    <w:rsid w:val="00CF3ED5"/>
    <w:rsid w:val="00CF3F0D"/>
    <w:rsid w:val="00CF435B"/>
    <w:rsid w:val="00CF49AB"/>
    <w:rsid w:val="00CF4D12"/>
    <w:rsid w:val="00CF506B"/>
    <w:rsid w:val="00CF5247"/>
    <w:rsid w:val="00CF52F0"/>
    <w:rsid w:val="00CF594A"/>
    <w:rsid w:val="00CF5AA7"/>
    <w:rsid w:val="00CF611F"/>
    <w:rsid w:val="00CF6352"/>
    <w:rsid w:val="00CF6475"/>
    <w:rsid w:val="00CF648B"/>
    <w:rsid w:val="00CF650D"/>
    <w:rsid w:val="00CF693F"/>
    <w:rsid w:val="00CF714C"/>
    <w:rsid w:val="00CF736D"/>
    <w:rsid w:val="00CF753C"/>
    <w:rsid w:val="00CF75BE"/>
    <w:rsid w:val="00CF7E3A"/>
    <w:rsid w:val="00D002E6"/>
    <w:rsid w:val="00D00A4D"/>
    <w:rsid w:val="00D00D1A"/>
    <w:rsid w:val="00D00FEC"/>
    <w:rsid w:val="00D0127A"/>
    <w:rsid w:val="00D01828"/>
    <w:rsid w:val="00D01BD7"/>
    <w:rsid w:val="00D024EA"/>
    <w:rsid w:val="00D025B2"/>
    <w:rsid w:val="00D02825"/>
    <w:rsid w:val="00D02A0D"/>
    <w:rsid w:val="00D02A64"/>
    <w:rsid w:val="00D02B0E"/>
    <w:rsid w:val="00D0307B"/>
    <w:rsid w:val="00D0393F"/>
    <w:rsid w:val="00D03A3B"/>
    <w:rsid w:val="00D03C13"/>
    <w:rsid w:val="00D03E89"/>
    <w:rsid w:val="00D041F6"/>
    <w:rsid w:val="00D044B1"/>
    <w:rsid w:val="00D046C3"/>
    <w:rsid w:val="00D04ADD"/>
    <w:rsid w:val="00D04B43"/>
    <w:rsid w:val="00D04C0E"/>
    <w:rsid w:val="00D050C2"/>
    <w:rsid w:val="00D05947"/>
    <w:rsid w:val="00D05C39"/>
    <w:rsid w:val="00D06331"/>
    <w:rsid w:val="00D0649C"/>
    <w:rsid w:val="00D067C2"/>
    <w:rsid w:val="00D068D4"/>
    <w:rsid w:val="00D06C2D"/>
    <w:rsid w:val="00D06C8F"/>
    <w:rsid w:val="00D06D53"/>
    <w:rsid w:val="00D06E54"/>
    <w:rsid w:val="00D07879"/>
    <w:rsid w:val="00D07891"/>
    <w:rsid w:val="00D07B49"/>
    <w:rsid w:val="00D07CF1"/>
    <w:rsid w:val="00D101F7"/>
    <w:rsid w:val="00D10236"/>
    <w:rsid w:val="00D10C08"/>
    <w:rsid w:val="00D10DC5"/>
    <w:rsid w:val="00D10E20"/>
    <w:rsid w:val="00D11456"/>
    <w:rsid w:val="00D1151B"/>
    <w:rsid w:val="00D11669"/>
    <w:rsid w:val="00D11AD8"/>
    <w:rsid w:val="00D11B58"/>
    <w:rsid w:val="00D11BC9"/>
    <w:rsid w:val="00D11EBD"/>
    <w:rsid w:val="00D123DD"/>
    <w:rsid w:val="00D12634"/>
    <w:rsid w:val="00D12764"/>
    <w:rsid w:val="00D12802"/>
    <w:rsid w:val="00D12F90"/>
    <w:rsid w:val="00D12FA5"/>
    <w:rsid w:val="00D13150"/>
    <w:rsid w:val="00D13589"/>
    <w:rsid w:val="00D13882"/>
    <w:rsid w:val="00D1392A"/>
    <w:rsid w:val="00D13C98"/>
    <w:rsid w:val="00D14194"/>
    <w:rsid w:val="00D144AE"/>
    <w:rsid w:val="00D145F5"/>
    <w:rsid w:val="00D14688"/>
    <w:rsid w:val="00D1485C"/>
    <w:rsid w:val="00D14F4B"/>
    <w:rsid w:val="00D14FCE"/>
    <w:rsid w:val="00D15473"/>
    <w:rsid w:val="00D15675"/>
    <w:rsid w:val="00D156BB"/>
    <w:rsid w:val="00D15926"/>
    <w:rsid w:val="00D15D63"/>
    <w:rsid w:val="00D15E7E"/>
    <w:rsid w:val="00D1616D"/>
    <w:rsid w:val="00D1616E"/>
    <w:rsid w:val="00D167FD"/>
    <w:rsid w:val="00D16974"/>
    <w:rsid w:val="00D16977"/>
    <w:rsid w:val="00D16A53"/>
    <w:rsid w:val="00D16ED5"/>
    <w:rsid w:val="00D171D9"/>
    <w:rsid w:val="00D174F1"/>
    <w:rsid w:val="00D17854"/>
    <w:rsid w:val="00D17944"/>
    <w:rsid w:val="00D17D44"/>
    <w:rsid w:val="00D202A3"/>
    <w:rsid w:val="00D206C0"/>
    <w:rsid w:val="00D20929"/>
    <w:rsid w:val="00D215CF"/>
    <w:rsid w:val="00D215D6"/>
    <w:rsid w:val="00D216C6"/>
    <w:rsid w:val="00D216DD"/>
    <w:rsid w:val="00D2176C"/>
    <w:rsid w:val="00D217B1"/>
    <w:rsid w:val="00D21974"/>
    <w:rsid w:val="00D21CFE"/>
    <w:rsid w:val="00D21F47"/>
    <w:rsid w:val="00D22267"/>
    <w:rsid w:val="00D2256F"/>
    <w:rsid w:val="00D22578"/>
    <w:rsid w:val="00D22587"/>
    <w:rsid w:val="00D22791"/>
    <w:rsid w:val="00D22AA1"/>
    <w:rsid w:val="00D22D73"/>
    <w:rsid w:val="00D22D86"/>
    <w:rsid w:val="00D22E14"/>
    <w:rsid w:val="00D23925"/>
    <w:rsid w:val="00D23999"/>
    <w:rsid w:val="00D23B27"/>
    <w:rsid w:val="00D23BDF"/>
    <w:rsid w:val="00D242AC"/>
    <w:rsid w:val="00D243C1"/>
    <w:rsid w:val="00D247FC"/>
    <w:rsid w:val="00D24A5A"/>
    <w:rsid w:val="00D24D59"/>
    <w:rsid w:val="00D258AF"/>
    <w:rsid w:val="00D259BD"/>
    <w:rsid w:val="00D259FE"/>
    <w:rsid w:val="00D25C31"/>
    <w:rsid w:val="00D25EB9"/>
    <w:rsid w:val="00D26540"/>
    <w:rsid w:val="00D2665D"/>
    <w:rsid w:val="00D26C16"/>
    <w:rsid w:val="00D26D77"/>
    <w:rsid w:val="00D26DD3"/>
    <w:rsid w:val="00D26FAD"/>
    <w:rsid w:val="00D272A3"/>
    <w:rsid w:val="00D278A9"/>
    <w:rsid w:val="00D27D3B"/>
    <w:rsid w:val="00D27E18"/>
    <w:rsid w:val="00D27FFD"/>
    <w:rsid w:val="00D30024"/>
    <w:rsid w:val="00D3013F"/>
    <w:rsid w:val="00D302D0"/>
    <w:rsid w:val="00D30942"/>
    <w:rsid w:val="00D317E6"/>
    <w:rsid w:val="00D32233"/>
    <w:rsid w:val="00D32998"/>
    <w:rsid w:val="00D32B9B"/>
    <w:rsid w:val="00D32C82"/>
    <w:rsid w:val="00D32FED"/>
    <w:rsid w:val="00D3308D"/>
    <w:rsid w:val="00D33120"/>
    <w:rsid w:val="00D33145"/>
    <w:rsid w:val="00D33467"/>
    <w:rsid w:val="00D33B0F"/>
    <w:rsid w:val="00D3451A"/>
    <w:rsid w:val="00D34551"/>
    <w:rsid w:val="00D34670"/>
    <w:rsid w:val="00D34B4B"/>
    <w:rsid w:val="00D354C9"/>
    <w:rsid w:val="00D355E6"/>
    <w:rsid w:val="00D355F0"/>
    <w:rsid w:val="00D35829"/>
    <w:rsid w:val="00D35D9E"/>
    <w:rsid w:val="00D35DA6"/>
    <w:rsid w:val="00D35DEF"/>
    <w:rsid w:val="00D35E4C"/>
    <w:rsid w:val="00D35F88"/>
    <w:rsid w:val="00D3629D"/>
    <w:rsid w:val="00D36B9B"/>
    <w:rsid w:val="00D36BFB"/>
    <w:rsid w:val="00D36D27"/>
    <w:rsid w:val="00D36E7E"/>
    <w:rsid w:val="00D3713E"/>
    <w:rsid w:val="00D37568"/>
    <w:rsid w:val="00D3759A"/>
    <w:rsid w:val="00D377D9"/>
    <w:rsid w:val="00D37AAA"/>
    <w:rsid w:val="00D37AF6"/>
    <w:rsid w:val="00D37BAB"/>
    <w:rsid w:val="00D37D29"/>
    <w:rsid w:val="00D40399"/>
    <w:rsid w:val="00D40489"/>
    <w:rsid w:val="00D405C9"/>
    <w:rsid w:val="00D406A2"/>
    <w:rsid w:val="00D406F3"/>
    <w:rsid w:val="00D40941"/>
    <w:rsid w:val="00D40B1F"/>
    <w:rsid w:val="00D40CAE"/>
    <w:rsid w:val="00D40CC0"/>
    <w:rsid w:val="00D40CEF"/>
    <w:rsid w:val="00D40E97"/>
    <w:rsid w:val="00D4133B"/>
    <w:rsid w:val="00D425B1"/>
    <w:rsid w:val="00D42BF3"/>
    <w:rsid w:val="00D42E48"/>
    <w:rsid w:val="00D42EE9"/>
    <w:rsid w:val="00D42FC9"/>
    <w:rsid w:val="00D4301C"/>
    <w:rsid w:val="00D436ED"/>
    <w:rsid w:val="00D43AC8"/>
    <w:rsid w:val="00D43ADA"/>
    <w:rsid w:val="00D43CC9"/>
    <w:rsid w:val="00D4432F"/>
    <w:rsid w:val="00D448EA"/>
    <w:rsid w:val="00D44A96"/>
    <w:rsid w:val="00D44EA1"/>
    <w:rsid w:val="00D451B1"/>
    <w:rsid w:val="00D45211"/>
    <w:rsid w:val="00D4560B"/>
    <w:rsid w:val="00D4576D"/>
    <w:rsid w:val="00D4586C"/>
    <w:rsid w:val="00D45B16"/>
    <w:rsid w:val="00D46074"/>
    <w:rsid w:val="00D465DC"/>
    <w:rsid w:val="00D46679"/>
    <w:rsid w:val="00D469B3"/>
    <w:rsid w:val="00D46C69"/>
    <w:rsid w:val="00D4736B"/>
    <w:rsid w:val="00D4749C"/>
    <w:rsid w:val="00D4754B"/>
    <w:rsid w:val="00D47702"/>
    <w:rsid w:val="00D47736"/>
    <w:rsid w:val="00D477FB"/>
    <w:rsid w:val="00D47FC8"/>
    <w:rsid w:val="00D5027C"/>
    <w:rsid w:val="00D50303"/>
    <w:rsid w:val="00D505FD"/>
    <w:rsid w:val="00D508F1"/>
    <w:rsid w:val="00D50C95"/>
    <w:rsid w:val="00D50F9D"/>
    <w:rsid w:val="00D510E5"/>
    <w:rsid w:val="00D5155E"/>
    <w:rsid w:val="00D52429"/>
    <w:rsid w:val="00D52650"/>
    <w:rsid w:val="00D5307B"/>
    <w:rsid w:val="00D534B2"/>
    <w:rsid w:val="00D53549"/>
    <w:rsid w:val="00D538D8"/>
    <w:rsid w:val="00D539C9"/>
    <w:rsid w:val="00D53C7B"/>
    <w:rsid w:val="00D5419B"/>
    <w:rsid w:val="00D54897"/>
    <w:rsid w:val="00D54A99"/>
    <w:rsid w:val="00D54B9C"/>
    <w:rsid w:val="00D54C14"/>
    <w:rsid w:val="00D54F13"/>
    <w:rsid w:val="00D5510E"/>
    <w:rsid w:val="00D552E8"/>
    <w:rsid w:val="00D55357"/>
    <w:rsid w:val="00D55897"/>
    <w:rsid w:val="00D559E5"/>
    <w:rsid w:val="00D56113"/>
    <w:rsid w:val="00D56370"/>
    <w:rsid w:val="00D56598"/>
    <w:rsid w:val="00D566A1"/>
    <w:rsid w:val="00D566F4"/>
    <w:rsid w:val="00D5676D"/>
    <w:rsid w:val="00D5697B"/>
    <w:rsid w:val="00D56AFC"/>
    <w:rsid w:val="00D56FF0"/>
    <w:rsid w:val="00D57293"/>
    <w:rsid w:val="00D57790"/>
    <w:rsid w:val="00D57BDD"/>
    <w:rsid w:val="00D57E3C"/>
    <w:rsid w:val="00D60412"/>
    <w:rsid w:val="00D60898"/>
    <w:rsid w:val="00D609F4"/>
    <w:rsid w:val="00D60B44"/>
    <w:rsid w:val="00D60E99"/>
    <w:rsid w:val="00D61273"/>
    <w:rsid w:val="00D61390"/>
    <w:rsid w:val="00D61513"/>
    <w:rsid w:val="00D6197A"/>
    <w:rsid w:val="00D61DFA"/>
    <w:rsid w:val="00D61F0A"/>
    <w:rsid w:val="00D62504"/>
    <w:rsid w:val="00D62C41"/>
    <w:rsid w:val="00D62F16"/>
    <w:rsid w:val="00D6332C"/>
    <w:rsid w:val="00D63B5B"/>
    <w:rsid w:val="00D63C1D"/>
    <w:rsid w:val="00D63EBE"/>
    <w:rsid w:val="00D6432D"/>
    <w:rsid w:val="00D6457A"/>
    <w:rsid w:val="00D645B2"/>
    <w:rsid w:val="00D646E5"/>
    <w:rsid w:val="00D647D4"/>
    <w:rsid w:val="00D64A12"/>
    <w:rsid w:val="00D65560"/>
    <w:rsid w:val="00D65593"/>
    <w:rsid w:val="00D655A0"/>
    <w:rsid w:val="00D6596B"/>
    <w:rsid w:val="00D65A5F"/>
    <w:rsid w:val="00D65A89"/>
    <w:rsid w:val="00D65CB7"/>
    <w:rsid w:val="00D66119"/>
    <w:rsid w:val="00D6625B"/>
    <w:rsid w:val="00D6651D"/>
    <w:rsid w:val="00D667B8"/>
    <w:rsid w:val="00D66B7B"/>
    <w:rsid w:val="00D67312"/>
    <w:rsid w:val="00D675B5"/>
    <w:rsid w:val="00D67C61"/>
    <w:rsid w:val="00D701A7"/>
    <w:rsid w:val="00D703D0"/>
    <w:rsid w:val="00D7058C"/>
    <w:rsid w:val="00D706BC"/>
    <w:rsid w:val="00D7086B"/>
    <w:rsid w:val="00D70D86"/>
    <w:rsid w:val="00D70E7C"/>
    <w:rsid w:val="00D71822"/>
    <w:rsid w:val="00D718CA"/>
    <w:rsid w:val="00D71D10"/>
    <w:rsid w:val="00D7210D"/>
    <w:rsid w:val="00D72153"/>
    <w:rsid w:val="00D722BF"/>
    <w:rsid w:val="00D72304"/>
    <w:rsid w:val="00D72E68"/>
    <w:rsid w:val="00D73103"/>
    <w:rsid w:val="00D73225"/>
    <w:rsid w:val="00D73272"/>
    <w:rsid w:val="00D734AB"/>
    <w:rsid w:val="00D7388E"/>
    <w:rsid w:val="00D74042"/>
    <w:rsid w:val="00D74163"/>
    <w:rsid w:val="00D74347"/>
    <w:rsid w:val="00D74E44"/>
    <w:rsid w:val="00D75246"/>
    <w:rsid w:val="00D75627"/>
    <w:rsid w:val="00D759DE"/>
    <w:rsid w:val="00D75A8F"/>
    <w:rsid w:val="00D75AA6"/>
    <w:rsid w:val="00D75F38"/>
    <w:rsid w:val="00D7646B"/>
    <w:rsid w:val="00D7676F"/>
    <w:rsid w:val="00D76911"/>
    <w:rsid w:val="00D76920"/>
    <w:rsid w:val="00D76928"/>
    <w:rsid w:val="00D76A80"/>
    <w:rsid w:val="00D77357"/>
    <w:rsid w:val="00D7759E"/>
    <w:rsid w:val="00D77997"/>
    <w:rsid w:val="00D77DA7"/>
    <w:rsid w:val="00D77E6C"/>
    <w:rsid w:val="00D800A1"/>
    <w:rsid w:val="00D804B5"/>
    <w:rsid w:val="00D80748"/>
    <w:rsid w:val="00D80B03"/>
    <w:rsid w:val="00D80B59"/>
    <w:rsid w:val="00D80E85"/>
    <w:rsid w:val="00D80EA4"/>
    <w:rsid w:val="00D80F37"/>
    <w:rsid w:val="00D818A6"/>
    <w:rsid w:val="00D81B17"/>
    <w:rsid w:val="00D81B18"/>
    <w:rsid w:val="00D82059"/>
    <w:rsid w:val="00D820FB"/>
    <w:rsid w:val="00D82613"/>
    <w:rsid w:val="00D82936"/>
    <w:rsid w:val="00D833D9"/>
    <w:rsid w:val="00D83BD7"/>
    <w:rsid w:val="00D83BD9"/>
    <w:rsid w:val="00D83CDB"/>
    <w:rsid w:val="00D83EA6"/>
    <w:rsid w:val="00D84734"/>
    <w:rsid w:val="00D8477C"/>
    <w:rsid w:val="00D848EE"/>
    <w:rsid w:val="00D849C5"/>
    <w:rsid w:val="00D8532E"/>
    <w:rsid w:val="00D85F4C"/>
    <w:rsid w:val="00D86013"/>
    <w:rsid w:val="00D8635D"/>
    <w:rsid w:val="00D867EC"/>
    <w:rsid w:val="00D86AC0"/>
    <w:rsid w:val="00D870C5"/>
    <w:rsid w:val="00D8728C"/>
    <w:rsid w:val="00D8750B"/>
    <w:rsid w:val="00D876F2"/>
    <w:rsid w:val="00D87AB1"/>
    <w:rsid w:val="00D87BBB"/>
    <w:rsid w:val="00D87E58"/>
    <w:rsid w:val="00D902B0"/>
    <w:rsid w:val="00D907DE"/>
    <w:rsid w:val="00D908DB"/>
    <w:rsid w:val="00D909A8"/>
    <w:rsid w:val="00D90DE9"/>
    <w:rsid w:val="00D90E2E"/>
    <w:rsid w:val="00D91214"/>
    <w:rsid w:val="00D912C9"/>
    <w:rsid w:val="00D913C8"/>
    <w:rsid w:val="00D915BF"/>
    <w:rsid w:val="00D9164C"/>
    <w:rsid w:val="00D9179F"/>
    <w:rsid w:val="00D91803"/>
    <w:rsid w:val="00D91A41"/>
    <w:rsid w:val="00D91C4C"/>
    <w:rsid w:val="00D91E6E"/>
    <w:rsid w:val="00D921E9"/>
    <w:rsid w:val="00D92319"/>
    <w:rsid w:val="00D923D0"/>
    <w:rsid w:val="00D92417"/>
    <w:rsid w:val="00D92776"/>
    <w:rsid w:val="00D92FEA"/>
    <w:rsid w:val="00D93304"/>
    <w:rsid w:val="00D93720"/>
    <w:rsid w:val="00D9389E"/>
    <w:rsid w:val="00D94034"/>
    <w:rsid w:val="00D94283"/>
    <w:rsid w:val="00D94474"/>
    <w:rsid w:val="00D94BB1"/>
    <w:rsid w:val="00D94CB0"/>
    <w:rsid w:val="00D94D05"/>
    <w:rsid w:val="00D94DCF"/>
    <w:rsid w:val="00D94EAE"/>
    <w:rsid w:val="00D9504B"/>
    <w:rsid w:val="00D95169"/>
    <w:rsid w:val="00D9549F"/>
    <w:rsid w:val="00D9550A"/>
    <w:rsid w:val="00D95984"/>
    <w:rsid w:val="00D95BE8"/>
    <w:rsid w:val="00D95DA3"/>
    <w:rsid w:val="00D95E1D"/>
    <w:rsid w:val="00D964B6"/>
    <w:rsid w:val="00D967FC"/>
    <w:rsid w:val="00D96A45"/>
    <w:rsid w:val="00D96A6B"/>
    <w:rsid w:val="00D96F80"/>
    <w:rsid w:val="00D9726C"/>
    <w:rsid w:val="00D973C2"/>
    <w:rsid w:val="00D974AC"/>
    <w:rsid w:val="00D97602"/>
    <w:rsid w:val="00D97E0B"/>
    <w:rsid w:val="00DA0152"/>
    <w:rsid w:val="00DA044E"/>
    <w:rsid w:val="00DA0710"/>
    <w:rsid w:val="00DA087F"/>
    <w:rsid w:val="00DA0A2C"/>
    <w:rsid w:val="00DA0D17"/>
    <w:rsid w:val="00DA1035"/>
    <w:rsid w:val="00DA1A0B"/>
    <w:rsid w:val="00DA2103"/>
    <w:rsid w:val="00DA2234"/>
    <w:rsid w:val="00DA2530"/>
    <w:rsid w:val="00DA273F"/>
    <w:rsid w:val="00DA2820"/>
    <w:rsid w:val="00DA2CD6"/>
    <w:rsid w:val="00DA2D6F"/>
    <w:rsid w:val="00DA3364"/>
    <w:rsid w:val="00DA338A"/>
    <w:rsid w:val="00DA3518"/>
    <w:rsid w:val="00DA36D6"/>
    <w:rsid w:val="00DA3B22"/>
    <w:rsid w:val="00DA3B4A"/>
    <w:rsid w:val="00DA3E1D"/>
    <w:rsid w:val="00DA3E68"/>
    <w:rsid w:val="00DA49C6"/>
    <w:rsid w:val="00DA4DEE"/>
    <w:rsid w:val="00DA50C7"/>
    <w:rsid w:val="00DA586F"/>
    <w:rsid w:val="00DA58AD"/>
    <w:rsid w:val="00DA5965"/>
    <w:rsid w:val="00DA5ACD"/>
    <w:rsid w:val="00DA5F79"/>
    <w:rsid w:val="00DA61E7"/>
    <w:rsid w:val="00DA6585"/>
    <w:rsid w:val="00DA694D"/>
    <w:rsid w:val="00DA72C9"/>
    <w:rsid w:val="00DA758F"/>
    <w:rsid w:val="00DA7C3E"/>
    <w:rsid w:val="00DB079D"/>
    <w:rsid w:val="00DB08DA"/>
    <w:rsid w:val="00DB09FC"/>
    <w:rsid w:val="00DB0A8C"/>
    <w:rsid w:val="00DB0B2A"/>
    <w:rsid w:val="00DB0D64"/>
    <w:rsid w:val="00DB0DE9"/>
    <w:rsid w:val="00DB0F8C"/>
    <w:rsid w:val="00DB1934"/>
    <w:rsid w:val="00DB21C9"/>
    <w:rsid w:val="00DB2841"/>
    <w:rsid w:val="00DB284D"/>
    <w:rsid w:val="00DB33CD"/>
    <w:rsid w:val="00DB3411"/>
    <w:rsid w:val="00DB34CE"/>
    <w:rsid w:val="00DB3AED"/>
    <w:rsid w:val="00DB45FD"/>
    <w:rsid w:val="00DB46AB"/>
    <w:rsid w:val="00DB48F5"/>
    <w:rsid w:val="00DB4945"/>
    <w:rsid w:val="00DB495E"/>
    <w:rsid w:val="00DB4B88"/>
    <w:rsid w:val="00DB5471"/>
    <w:rsid w:val="00DB588D"/>
    <w:rsid w:val="00DB59C1"/>
    <w:rsid w:val="00DB5B49"/>
    <w:rsid w:val="00DB5FE4"/>
    <w:rsid w:val="00DB678C"/>
    <w:rsid w:val="00DB6F69"/>
    <w:rsid w:val="00DB7608"/>
    <w:rsid w:val="00DB7751"/>
    <w:rsid w:val="00DB775B"/>
    <w:rsid w:val="00DB7770"/>
    <w:rsid w:val="00DB7B36"/>
    <w:rsid w:val="00DB7EC0"/>
    <w:rsid w:val="00DB7F09"/>
    <w:rsid w:val="00DC0085"/>
    <w:rsid w:val="00DC00E8"/>
    <w:rsid w:val="00DC07D4"/>
    <w:rsid w:val="00DC0E08"/>
    <w:rsid w:val="00DC1059"/>
    <w:rsid w:val="00DC11D3"/>
    <w:rsid w:val="00DC12CB"/>
    <w:rsid w:val="00DC15D2"/>
    <w:rsid w:val="00DC1C56"/>
    <w:rsid w:val="00DC1CD6"/>
    <w:rsid w:val="00DC1EF5"/>
    <w:rsid w:val="00DC1F55"/>
    <w:rsid w:val="00DC1F7D"/>
    <w:rsid w:val="00DC202A"/>
    <w:rsid w:val="00DC209C"/>
    <w:rsid w:val="00DC218E"/>
    <w:rsid w:val="00DC26F2"/>
    <w:rsid w:val="00DC2F00"/>
    <w:rsid w:val="00DC337A"/>
    <w:rsid w:val="00DC34C3"/>
    <w:rsid w:val="00DC3592"/>
    <w:rsid w:val="00DC39FE"/>
    <w:rsid w:val="00DC3C87"/>
    <w:rsid w:val="00DC3EAF"/>
    <w:rsid w:val="00DC41F1"/>
    <w:rsid w:val="00DC4756"/>
    <w:rsid w:val="00DC49A6"/>
    <w:rsid w:val="00DC4AE9"/>
    <w:rsid w:val="00DC4C11"/>
    <w:rsid w:val="00DC518C"/>
    <w:rsid w:val="00DC5396"/>
    <w:rsid w:val="00DC5602"/>
    <w:rsid w:val="00DC592E"/>
    <w:rsid w:val="00DC631C"/>
    <w:rsid w:val="00DC6379"/>
    <w:rsid w:val="00DC679B"/>
    <w:rsid w:val="00DC6953"/>
    <w:rsid w:val="00DC6C15"/>
    <w:rsid w:val="00DC6E29"/>
    <w:rsid w:val="00DC74F7"/>
    <w:rsid w:val="00DC7D01"/>
    <w:rsid w:val="00DC7E50"/>
    <w:rsid w:val="00DD0171"/>
    <w:rsid w:val="00DD0325"/>
    <w:rsid w:val="00DD04A6"/>
    <w:rsid w:val="00DD0576"/>
    <w:rsid w:val="00DD0766"/>
    <w:rsid w:val="00DD07FB"/>
    <w:rsid w:val="00DD08CB"/>
    <w:rsid w:val="00DD0933"/>
    <w:rsid w:val="00DD0AD1"/>
    <w:rsid w:val="00DD0F4D"/>
    <w:rsid w:val="00DD1D86"/>
    <w:rsid w:val="00DD1E20"/>
    <w:rsid w:val="00DD1F1D"/>
    <w:rsid w:val="00DD2036"/>
    <w:rsid w:val="00DD26F5"/>
    <w:rsid w:val="00DD28F2"/>
    <w:rsid w:val="00DD2AAD"/>
    <w:rsid w:val="00DD2B06"/>
    <w:rsid w:val="00DD351E"/>
    <w:rsid w:val="00DD3680"/>
    <w:rsid w:val="00DD3A80"/>
    <w:rsid w:val="00DD3D0B"/>
    <w:rsid w:val="00DD4D19"/>
    <w:rsid w:val="00DD4E22"/>
    <w:rsid w:val="00DD4F8A"/>
    <w:rsid w:val="00DD5552"/>
    <w:rsid w:val="00DD63AB"/>
    <w:rsid w:val="00DD6454"/>
    <w:rsid w:val="00DD6C97"/>
    <w:rsid w:val="00DD6D02"/>
    <w:rsid w:val="00DD6DEA"/>
    <w:rsid w:val="00DD7063"/>
    <w:rsid w:val="00DD7073"/>
    <w:rsid w:val="00DD7122"/>
    <w:rsid w:val="00DD7611"/>
    <w:rsid w:val="00DE019D"/>
    <w:rsid w:val="00DE05B6"/>
    <w:rsid w:val="00DE0CCD"/>
    <w:rsid w:val="00DE0F49"/>
    <w:rsid w:val="00DE1191"/>
    <w:rsid w:val="00DE13B9"/>
    <w:rsid w:val="00DE187A"/>
    <w:rsid w:val="00DE194E"/>
    <w:rsid w:val="00DE1A23"/>
    <w:rsid w:val="00DE1B7F"/>
    <w:rsid w:val="00DE1FB0"/>
    <w:rsid w:val="00DE27BB"/>
    <w:rsid w:val="00DE2B3D"/>
    <w:rsid w:val="00DE2D24"/>
    <w:rsid w:val="00DE3411"/>
    <w:rsid w:val="00DE37A6"/>
    <w:rsid w:val="00DE3B10"/>
    <w:rsid w:val="00DE3C77"/>
    <w:rsid w:val="00DE3E6B"/>
    <w:rsid w:val="00DE49BD"/>
    <w:rsid w:val="00DE4A46"/>
    <w:rsid w:val="00DE5546"/>
    <w:rsid w:val="00DE5761"/>
    <w:rsid w:val="00DE5830"/>
    <w:rsid w:val="00DE590E"/>
    <w:rsid w:val="00DE5DD7"/>
    <w:rsid w:val="00DE67B4"/>
    <w:rsid w:val="00DE68DF"/>
    <w:rsid w:val="00DE7159"/>
    <w:rsid w:val="00DE76F3"/>
    <w:rsid w:val="00DE7AC0"/>
    <w:rsid w:val="00DE7D0E"/>
    <w:rsid w:val="00DE7D3A"/>
    <w:rsid w:val="00DE7F49"/>
    <w:rsid w:val="00DF01CB"/>
    <w:rsid w:val="00DF0211"/>
    <w:rsid w:val="00DF07BF"/>
    <w:rsid w:val="00DF0964"/>
    <w:rsid w:val="00DF09C5"/>
    <w:rsid w:val="00DF0AAE"/>
    <w:rsid w:val="00DF0E0E"/>
    <w:rsid w:val="00DF1562"/>
    <w:rsid w:val="00DF17D4"/>
    <w:rsid w:val="00DF1AA8"/>
    <w:rsid w:val="00DF1BDF"/>
    <w:rsid w:val="00DF1DCF"/>
    <w:rsid w:val="00DF1FC6"/>
    <w:rsid w:val="00DF1FD7"/>
    <w:rsid w:val="00DF234E"/>
    <w:rsid w:val="00DF2400"/>
    <w:rsid w:val="00DF270B"/>
    <w:rsid w:val="00DF27F7"/>
    <w:rsid w:val="00DF28AB"/>
    <w:rsid w:val="00DF302E"/>
    <w:rsid w:val="00DF3209"/>
    <w:rsid w:val="00DF35CE"/>
    <w:rsid w:val="00DF3D20"/>
    <w:rsid w:val="00DF3F09"/>
    <w:rsid w:val="00DF40B3"/>
    <w:rsid w:val="00DF41E3"/>
    <w:rsid w:val="00DF4D22"/>
    <w:rsid w:val="00DF4F1B"/>
    <w:rsid w:val="00DF531D"/>
    <w:rsid w:val="00DF598B"/>
    <w:rsid w:val="00DF5A60"/>
    <w:rsid w:val="00DF5B40"/>
    <w:rsid w:val="00DF5BD5"/>
    <w:rsid w:val="00DF5F19"/>
    <w:rsid w:val="00DF63E8"/>
    <w:rsid w:val="00DF63EB"/>
    <w:rsid w:val="00DF67C4"/>
    <w:rsid w:val="00DF6AEB"/>
    <w:rsid w:val="00DF6F61"/>
    <w:rsid w:val="00DF6F9E"/>
    <w:rsid w:val="00DF7512"/>
    <w:rsid w:val="00DF77CD"/>
    <w:rsid w:val="00E0022E"/>
    <w:rsid w:val="00E00C0E"/>
    <w:rsid w:val="00E01028"/>
    <w:rsid w:val="00E0116D"/>
    <w:rsid w:val="00E0166E"/>
    <w:rsid w:val="00E01BC3"/>
    <w:rsid w:val="00E01D84"/>
    <w:rsid w:val="00E01FA9"/>
    <w:rsid w:val="00E0221E"/>
    <w:rsid w:val="00E02442"/>
    <w:rsid w:val="00E02613"/>
    <w:rsid w:val="00E0271D"/>
    <w:rsid w:val="00E02A49"/>
    <w:rsid w:val="00E02B7D"/>
    <w:rsid w:val="00E02E45"/>
    <w:rsid w:val="00E03147"/>
    <w:rsid w:val="00E031F4"/>
    <w:rsid w:val="00E03210"/>
    <w:rsid w:val="00E03301"/>
    <w:rsid w:val="00E03948"/>
    <w:rsid w:val="00E03A18"/>
    <w:rsid w:val="00E03D48"/>
    <w:rsid w:val="00E0424A"/>
    <w:rsid w:val="00E04D69"/>
    <w:rsid w:val="00E04FB2"/>
    <w:rsid w:val="00E05709"/>
    <w:rsid w:val="00E0591A"/>
    <w:rsid w:val="00E05C6F"/>
    <w:rsid w:val="00E05D9A"/>
    <w:rsid w:val="00E05FBC"/>
    <w:rsid w:val="00E06089"/>
    <w:rsid w:val="00E061B6"/>
    <w:rsid w:val="00E06454"/>
    <w:rsid w:val="00E06E0E"/>
    <w:rsid w:val="00E0707D"/>
    <w:rsid w:val="00E07493"/>
    <w:rsid w:val="00E074CC"/>
    <w:rsid w:val="00E078EA"/>
    <w:rsid w:val="00E1001D"/>
    <w:rsid w:val="00E10091"/>
    <w:rsid w:val="00E101C6"/>
    <w:rsid w:val="00E107B6"/>
    <w:rsid w:val="00E10F22"/>
    <w:rsid w:val="00E10F83"/>
    <w:rsid w:val="00E11184"/>
    <w:rsid w:val="00E11796"/>
    <w:rsid w:val="00E11812"/>
    <w:rsid w:val="00E118E2"/>
    <w:rsid w:val="00E11BC5"/>
    <w:rsid w:val="00E11D91"/>
    <w:rsid w:val="00E11E9B"/>
    <w:rsid w:val="00E1234D"/>
    <w:rsid w:val="00E124EB"/>
    <w:rsid w:val="00E12FBC"/>
    <w:rsid w:val="00E133BB"/>
    <w:rsid w:val="00E1358A"/>
    <w:rsid w:val="00E13EAA"/>
    <w:rsid w:val="00E13EF7"/>
    <w:rsid w:val="00E1433B"/>
    <w:rsid w:val="00E14374"/>
    <w:rsid w:val="00E1489A"/>
    <w:rsid w:val="00E14B62"/>
    <w:rsid w:val="00E150A1"/>
    <w:rsid w:val="00E15C46"/>
    <w:rsid w:val="00E15DFE"/>
    <w:rsid w:val="00E15EEC"/>
    <w:rsid w:val="00E168C1"/>
    <w:rsid w:val="00E168CF"/>
    <w:rsid w:val="00E16911"/>
    <w:rsid w:val="00E17169"/>
    <w:rsid w:val="00E171F7"/>
    <w:rsid w:val="00E174F3"/>
    <w:rsid w:val="00E1791C"/>
    <w:rsid w:val="00E17D87"/>
    <w:rsid w:val="00E17EA0"/>
    <w:rsid w:val="00E2093C"/>
    <w:rsid w:val="00E209B9"/>
    <w:rsid w:val="00E210CA"/>
    <w:rsid w:val="00E21628"/>
    <w:rsid w:val="00E21A57"/>
    <w:rsid w:val="00E21B8A"/>
    <w:rsid w:val="00E21D3D"/>
    <w:rsid w:val="00E21F73"/>
    <w:rsid w:val="00E222C1"/>
    <w:rsid w:val="00E224DD"/>
    <w:rsid w:val="00E22D51"/>
    <w:rsid w:val="00E23426"/>
    <w:rsid w:val="00E235C0"/>
    <w:rsid w:val="00E238FB"/>
    <w:rsid w:val="00E23E17"/>
    <w:rsid w:val="00E23E5D"/>
    <w:rsid w:val="00E243D2"/>
    <w:rsid w:val="00E24513"/>
    <w:rsid w:val="00E24774"/>
    <w:rsid w:val="00E247DA"/>
    <w:rsid w:val="00E24822"/>
    <w:rsid w:val="00E24D07"/>
    <w:rsid w:val="00E24EF1"/>
    <w:rsid w:val="00E24F2A"/>
    <w:rsid w:val="00E25545"/>
    <w:rsid w:val="00E255B7"/>
    <w:rsid w:val="00E25F2B"/>
    <w:rsid w:val="00E262D6"/>
    <w:rsid w:val="00E26367"/>
    <w:rsid w:val="00E2636B"/>
    <w:rsid w:val="00E26847"/>
    <w:rsid w:val="00E26C84"/>
    <w:rsid w:val="00E26E12"/>
    <w:rsid w:val="00E275E9"/>
    <w:rsid w:val="00E27DC4"/>
    <w:rsid w:val="00E27F82"/>
    <w:rsid w:val="00E30700"/>
    <w:rsid w:val="00E30D2B"/>
    <w:rsid w:val="00E30DA8"/>
    <w:rsid w:val="00E3129E"/>
    <w:rsid w:val="00E3161D"/>
    <w:rsid w:val="00E317F7"/>
    <w:rsid w:val="00E318E7"/>
    <w:rsid w:val="00E31C99"/>
    <w:rsid w:val="00E31D0D"/>
    <w:rsid w:val="00E31FC1"/>
    <w:rsid w:val="00E32024"/>
    <w:rsid w:val="00E3245D"/>
    <w:rsid w:val="00E3261D"/>
    <w:rsid w:val="00E3280A"/>
    <w:rsid w:val="00E32D8B"/>
    <w:rsid w:val="00E32FF9"/>
    <w:rsid w:val="00E3361F"/>
    <w:rsid w:val="00E336C2"/>
    <w:rsid w:val="00E336CD"/>
    <w:rsid w:val="00E34840"/>
    <w:rsid w:val="00E34CA5"/>
    <w:rsid w:val="00E34DB3"/>
    <w:rsid w:val="00E3503F"/>
    <w:rsid w:val="00E352E0"/>
    <w:rsid w:val="00E3595D"/>
    <w:rsid w:val="00E3665B"/>
    <w:rsid w:val="00E36692"/>
    <w:rsid w:val="00E367D0"/>
    <w:rsid w:val="00E3685E"/>
    <w:rsid w:val="00E36AC4"/>
    <w:rsid w:val="00E36B10"/>
    <w:rsid w:val="00E36CDA"/>
    <w:rsid w:val="00E36E83"/>
    <w:rsid w:val="00E36F1B"/>
    <w:rsid w:val="00E36F77"/>
    <w:rsid w:val="00E374CD"/>
    <w:rsid w:val="00E376E1"/>
    <w:rsid w:val="00E37A60"/>
    <w:rsid w:val="00E37B3D"/>
    <w:rsid w:val="00E4020A"/>
    <w:rsid w:val="00E40407"/>
    <w:rsid w:val="00E405A3"/>
    <w:rsid w:val="00E41231"/>
    <w:rsid w:val="00E413B3"/>
    <w:rsid w:val="00E416C7"/>
    <w:rsid w:val="00E417E0"/>
    <w:rsid w:val="00E418EC"/>
    <w:rsid w:val="00E41A69"/>
    <w:rsid w:val="00E41B3A"/>
    <w:rsid w:val="00E41E07"/>
    <w:rsid w:val="00E42099"/>
    <w:rsid w:val="00E420C0"/>
    <w:rsid w:val="00E4257E"/>
    <w:rsid w:val="00E42618"/>
    <w:rsid w:val="00E430DB"/>
    <w:rsid w:val="00E430E6"/>
    <w:rsid w:val="00E431B0"/>
    <w:rsid w:val="00E4321F"/>
    <w:rsid w:val="00E43950"/>
    <w:rsid w:val="00E43B36"/>
    <w:rsid w:val="00E43D26"/>
    <w:rsid w:val="00E4428D"/>
    <w:rsid w:val="00E44459"/>
    <w:rsid w:val="00E448F9"/>
    <w:rsid w:val="00E44978"/>
    <w:rsid w:val="00E44BCF"/>
    <w:rsid w:val="00E44C61"/>
    <w:rsid w:val="00E450EE"/>
    <w:rsid w:val="00E455EF"/>
    <w:rsid w:val="00E457D3"/>
    <w:rsid w:val="00E45920"/>
    <w:rsid w:val="00E45D5D"/>
    <w:rsid w:val="00E461F9"/>
    <w:rsid w:val="00E46390"/>
    <w:rsid w:val="00E464D4"/>
    <w:rsid w:val="00E464E9"/>
    <w:rsid w:val="00E465D3"/>
    <w:rsid w:val="00E47170"/>
    <w:rsid w:val="00E474CC"/>
    <w:rsid w:val="00E475BB"/>
    <w:rsid w:val="00E47AE6"/>
    <w:rsid w:val="00E47F1E"/>
    <w:rsid w:val="00E47FFC"/>
    <w:rsid w:val="00E50823"/>
    <w:rsid w:val="00E50B44"/>
    <w:rsid w:val="00E50C97"/>
    <w:rsid w:val="00E50E7C"/>
    <w:rsid w:val="00E51148"/>
    <w:rsid w:val="00E51545"/>
    <w:rsid w:val="00E5159D"/>
    <w:rsid w:val="00E515E2"/>
    <w:rsid w:val="00E51604"/>
    <w:rsid w:val="00E51AB6"/>
    <w:rsid w:val="00E51B4D"/>
    <w:rsid w:val="00E51D9E"/>
    <w:rsid w:val="00E51F58"/>
    <w:rsid w:val="00E52FBA"/>
    <w:rsid w:val="00E5301A"/>
    <w:rsid w:val="00E530AC"/>
    <w:rsid w:val="00E53268"/>
    <w:rsid w:val="00E533BB"/>
    <w:rsid w:val="00E537D1"/>
    <w:rsid w:val="00E537DA"/>
    <w:rsid w:val="00E53AE7"/>
    <w:rsid w:val="00E53B61"/>
    <w:rsid w:val="00E53C42"/>
    <w:rsid w:val="00E54842"/>
    <w:rsid w:val="00E55061"/>
    <w:rsid w:val="00E55299"/>
    <w:rsid w:val="00E5538C"/>
    <w:rsid w:val="00E553D0"/>
    <w:rsid w:val="00E556C5"/>
    <w:rsid w:val="00E55AD5"/>
    <w:rsid w:val="00E5620F"/>
    <w:rsid w:val="00E566EC"/>
    <w:rsid w:val="00E567E6"/>
    <w:rsid w:val="00E56971"/>
    <w:rsid w:val="00E56975"/>
    <w:rsid w:val="00E569D2"/>
    <w:rsid w:val="00E56AEF"/>
    <w:rsid w:val="00E56B70"/>
    <w:rsid w:val="00E570C0"/>
    <w:rsid w:val="00E57128"/>
    <w:rsid w:val="00E573A4"/>
    <w:rsid w:val="00E575EB"/>
    <w:rsid w:val="00E57763"/>
    <w:rsid w:val="00E57AF6"/>
    <w:rsid w:val="00E57E71"/>
    <w:rsid w:val="00E57F5D"/>
    <w:rsid w:val="00E60236"/>
    <w:rsid w:val="00E6041F"/>
    <w:rsid w:val="00E60773"/>
    <w:rsid w:val="00E60A9F"/>
    <w:rsid w:val="00E60C27"/>
    <w:rsid w:val="00E60E6E"/>
    <w:rsid w:val="00E6112F"/>
    <w:rsid w:val="00E611C6"/>
    <w:rsid w:val="00E611CD"/>
    <w:rsid w:val="00E61484"/>
    <w:rsid w:val="00E61ACE"/>
    <w:rsid w:val="00E61B83"/>
    <w:rsid w:val="00E61DC0"/>
    <w:rsid w:val="00E62267"/>
    <w:rsid w:val="00E624F3"/>
    <w:rsid w:val="00E62578"/>
    <w:rsid w:val="00E62C37"/>
    <w:rsid w:val="00E62C7E"/>
    <w:rsid w:val="00E63311"/>
    <w:rsid w:val="00E63359"/>
    <w:rsid w:val="00E635EA"/>
    <w:rsid w:val="00E63D2E"/>
    <w:rsid w:val="00E6411A"/>
    <w:rsid w:val="00E64825"/>
    <w:rsid w:val="00E64B91"/>
    <w:rsid w:val="00E64CD2"/>
    <w:rsid w:val="00E64CF6"/>
    <w:rsid w:val="00E64E49"/>
    <w:rsid w:val="00E65190"/>
    <w:rsid w:val="00E655F5"/>
    <w:rsid w:val="00E658D4"/>
    <w:rsid w:val="00E65CF2"/>
    <w:rsid w:val="00E662BE"/>
    <w:rsid w:val="00E662F3"/>
    <w:rsid w:val="00E66893"/>
    <w:rsid w:val="00E669AC"/>
    <w:rsid w:val="00E66B33"/>
    <w:rsid w:val="00E66BA2"/>
    <w:rsid w:val="00E66F17"/>
    <w:rsid w:val="00E67534"/>
    <w:rsid w:val="00E67701"/>
    <w:rsid w:val="00E677CF"/>
    <w:rsid w:val="00E67D33"/>
    <w:rsid w:val="00E67FB0"/>
    <w:rsid w:val="00E7008F"/>
    <w:rsid w:val="00E705A4"/>
    <w:rsid w:val="00E711D7"/>
    <w:rsid w:val="00E71492"/>
    <w:rsid w:val="00E7157B"/>
    <w:rsid w:val="00E71887"/>
    <w:rsid w:val="00E71A29"/>
    <w:rsid w:val="00E71E18"/>
    <w:rsid w:val="00E72352"/>
    <w:rsid w:val="00E72527"/>
    <w:rsid w:val="00E72575"/>
    <w:rsid w:val="00E72729"/>
    <w:rsid w:val="00E7294F"/>
    <w:rsid w:val="00E72BAD"/>
    <w:rsid w:val="00E72F5F"/>
    <w:rsid w:val="00E73352"/>
    <w:rsid w:val="00E7386A"/>
    <w:rsid w:val="00E73884"/>
    <w:rsid w:val="00E73D6E"/>
    <w:rsid w:val="00E73D6F"/>
    <w:rsid w:val="00E73E61"/>
    <w:rsid w:val="00E73FD8"/>
    <w:rsid w:val="00E74CDA"/>
    <w:rsid w:val="00E74D8F"/>
    <w:rsid w:val="00E75002"/>
    <w:rsid w:val="00E7531B"/>
    <w:rsid w:val="00E75413"/>
    <w:rsid w:val="00E755D9"/>
    <w:rsid w:val="00E7576B"/>
    <w:rsid w:val="00E7584A"/>
    <w:rsid w:val="00E75BAE"/>
    <w:rsid w:val="00E75BB9"/>
    <w:rsid w:val="00E75EE0"/>
    <w:rsid w:val="00E76046"/>
    <w:rsid w:val="00E76352"/>
    <w:rsid w:val="00E7642B"/>
    <w:rsid w:val="00E764CD"/>
    <w:rsid w:val="00E7655C"/>
    <w:rsid w:val="00E766B6"/>
    <w:rsid w:val="00E767D9"/>
    <w:rsid w:val="00E769D1"/>
    <w:rsid w:val="00E76ABB"/>
    <w:rsid w:val="00E76CEB"/>
    <w:rsid w:val="00E804B7"/>
    <w:rsid w:val="00E80502"/>
    <w:rsid w:val="00E80AD9"/>
    <w:rsid w:val="00E80CC0"/>
    <w:rsid w:val="00E81388"/>
    <w:rsid w:val="00E8139C"/>
    <w:rsid w:val="00E814BD"/>
    <w:rsid w:val="00E815E1"/>
    <w:rsid w:val="00E81740"/>
    <w:rsid w:val="00E81DCC"/>
    <w:rsid w:val="00E82464"/>
    <w:rsid w:val="00E829A0"/>
    <w:rsid w:val="00E82AEA"/>
    <w:rsid w:val="00E82AF6"/>
    <w:rsid w:val="00E82D69"/>
    <w:rsid w:val="00E8361B"/>
    <w:rsid w:val="00E8367A"/>
    <w:rsid w:val="00E8378E"/>
    <w:rsid w:val="00E8391F"/>
    <w:rsid w:val="00E83967"/>
    <w:rsid w:val="00E83C90"/>
    <w:rsid w:val="00E83D6E"/>
    <w:rsid w:val="00E8404A"/>
    <w:rsid w:val="00E84D4B"/>
    <w:rsid w:val="00E850FB"/>
    <w:rsid w:val="00E8527B"/>
    <w:rsid w:val="00E85361"/>
    <w:rsid w:val="00E853FE"/>
    <w:rsid w:val="00E855E1"/>
    <w:rsid w:val="00E85672"/>
    <w:rsid w:val="00E85CB5"/>
    <w:rsid w:val="00E85CFF"/>
    <w:rsid w:val="00E85F69"/>
    <w:rsid w:val="00E8661B"/>
    <w:rsid w:val="00E86D6B"/>
    <w:rsid w:val="00E86DA1"/>
    <w:rsid w:val="00E86E45"/>
    <w:rsid w:val="00E86ED8"/>
    <w:rsid w:val="00E87133"/>
    <w:rsid w:val="00E87186"/>
    <w:rsid w:val="00E872B3"/>
    <w:rsid w:val="00E87489"/>
    <w:rsid w:val="00E8783B"/>
    <w:rsid w:val="00E902B0"/>
    <w:rsid w:val="00E902E8"/>
    <w:rsid w:val="00E904F6"/>
    <w:rsid w:val="00E90570"/>
    <w:rsid w:val="00E90677"/>
    <w:rsid w:val="00E90A92"/>
    <w:rsid w:val="00E91067"/>
    <w:rsid w:val="00E91219"/>
    <w:rsid w:val="00E91E8A"/>
    <w:rsid w:val="00E92096"/>
    <w:rsid w:val="00E92198"/>
    <w:rsid w:val="00E92AF7"/>
    <w:rsid w:val="00E93D8A"/>
    <w:rsid w:val="00E93FD7"/>
    <w:rsid w:val="00E9416B"/>
    <w:rsid w:val="00E94848"/>
    <w:rsid w:val="00E94E76"/>
    <w:rsid w:val="00E95597"/>
    <w:rsid w:val="00E95677"/>
    <w:rsid w:val="00E9599E"/>
    <w:rsid w:val="00E95CC2"/>
    <w:rsid w:val="00E96323"/>
    <w:rsid w:val="00E96BB3"/>
    <w:rsid w:val="00E96D8A"/>
    <w:rsid w:val="00E9712F"/>
    <w:rsid w:val="00E97302"/>
    <w:rsid w:val="00E9736F"/>
    <w:rsid w:val="00E9799D"/>
    <w:rsid w:val="00E97E2F"/>
    <w:rsid w:val="00EA027A"/>
    <w:rsid w:val="00EA0A0E"/>
    <w:rsid w:val="00EA0E28"/>
    <w:rsid w:val="00EA0E90"/>
    <w:rsid w:val="00EA0F85"/>
    <w:rsid w:val="00EA105F"/>
    <w:rsid w:val="00EA11B2"/>
    <w:rsid w:val="00EA1249"/>
    <w:rsid w:val="00EA1BE9"/>
    <w:rsid w:val="00EA1DCB"/>
    <w:rsid w:val="00EA1F07"/>
    <w:rsid w:val="00EA1FC3"/>
    <w:rsid w:val="00EA2341"/>
    <w:rsid w:val="00EA23AC"/>
    <w:rsid w:val="00EA2916"/>
    <w:rsid w:val="00EA302A"/>
    <w:rsid w:val="00EA35A1"/>
    <w:rsid w:val="00EA3C8A"/>
    <w:rsid w:val="00EA3CBC"/>
    <w:rsid w:val="00EA4D78"/>
    <w:rsid w:val="00EA4D84"/>
    <w:rsid w:val="00EA534E"/>
    <w:rsid w:val="00EA536A"/>
    <w:rsid w:val="00EA544C"/>
    <w:rsid w:val="00EA5964"/>
    <w:rsid w:val="00EA5ABF"/>
    <w:rsid w:val="00EA5B8F"/>
    <w:rsid w:val="00EA5CEB"/>
    <w:rsid w:val="00EA5E18"/>
    <w:rsid w:val="00EA6339"/>
    <w:rsid w:val="00EA6830"/>
    <w:rsid w:val="00EA6D79"/>
    <w:rsid w:val="00EA7450"/>
    <w:rsid w:val="00EA7572"/>
    <w:rsid w:val="00EA7687"/>
    <w:rsid w:val="00EA76E9"/>
    <w:rsid w:val="00EA7C3D"/>
    <w:rsid w:val="00EB05F8"/>
    <w:rsid w:val="00EB0D74"/>
    <w:rsid w:val="00EB0E06"/>
    <w:rsid w:val="00EB0F06"/>
    <w:rsid w:val="00EB25C2"/>
    <w:rsid w:val="00EB2722"/>
    <w:rsid w:val="00EB2C4B"/>
    <w:rsid w:val="00EB2F91"/>
    <w:rsid w:val="00EB3A8A"/>
    <w:rsid w:val="00EB3EF9"/>
    <w:rsid w:val="00EB42FF"/>
    <w:rsid w:val="00EB436C"/>
    <w:rsid w:val="00EB45B2"/>
    <w:rsid w:val="00EB4C40"/>
    <w:rsid w:val="00EB4CC1"/>
    <w:rsid w:val="00EB5186"/>
    <w:rsid w:val="00EB563B"/>
    <w:rsid w:val="00EB57B1"/>
    <w:rsid w:val="00EB5D15"/>
    <w:rsid w:val="00EB5E4D"/>
    <w:rsid w:val="00EB6113"/>
    <w:rsid w:val="00EB641D"/>
    <w:rsid w:val="00EB6878"/>
    <w:rsid w:val="00EB6879"/>
    <w:rsid w:val="00EB695E"/>
    <w:rsid w:val="00EB6BE9"/>
    <w:rsid w:val="00EB6ED0"/>
    <w:rsid w:val="00EB6F1D"/>
    <w:rsid w:val="00EB70F0"/>
    <w:rsid w:val="00EB77B8"/>
    <w:rsid w:val="00EB796D"/>
    <w:rsid w:val="00EB7EF1"/>
    <w:rsid w:val="00EC01C2"/>
    <w:rsid w:val="00EC0388"/>
    <w:rsid w:val="00EC0A56"/>
    <w:rsid w:val="00EC1071"/>
    <w:rsid w:val="00EC11CF"/>
    <w:rsid w:val="00EC1337"/>
    <w:rsid w:val="00EC14C7"/>
    <w:rsid w:val="00EC1503"/>
    <w:rsid w:val="00EC1731"/>
    <w:rsid w:val="00EC18A5"/>
    <w:rsid w:val="00EC18B7"/>
    <w:rsid w:val="00EC19CD"/>
    <w:rsid w:val="00EC1A3A"/>
    <w:rsid w:val="00EC1AB8"/>
    <w:rsid w:val="00EC1E0E"/>
    <w:rsid w:val="00EC1F2C"/>
    <w:rsid w:val="00EC22E1"/>
    <w:rsid w:val="00EC236D"/>
    <w:rsid w:val="00EC23F7"/>
    <w:rsid w:val="00EC2553"/>
    <w:rsid w:val="00EC2620"/>
    <w:rsid w:val="00EC277A"/>
    <w:rsid w:val="00EC29C4"/>
    <w:rsid w:val="00EC2D7E"/>
    <w:rsid w:val="00EC3A34"/>
    <w:rsid w:val="00EC426A"/>
    <w:rsid w:val="00EC43C2"/>
    <w:rsid w:val="00EC45E7"/>
    <w:rsid w:val="00EC47D1"/>
    <w:rsid w:val="00EC4ADD"/>
    <w:rsid w:val="00EC52CE"/>
    <w:rsid w:val="00EC54B2"/>
    <w:rsid w:val="00EC570B"/>
    <w:rsid w:val="00EC586B"/>
    <w:rsid w:val="00EC6032"/>
    <w:rsid w:val="00EC63CE"/>
    <w:rsid w:val="00EC654A"/>
    <w:rsid w:val="00EC67CD"/>
    <w:rsid w:val="00EC6AEA"/>
    <w:rsid w:val="00EC6B16"/>
    <w:rsid w:val="00EC6B39"/>
    <w:rsid w:val="00EC6D30"/>
    <w:rsid w:val="00EC6ED9"/>
    <w:rsid w:val="00EC7775"/>
    <w:rsid w:val="00EC78DA"/>
    <w:rsid w:val="00EC7C4B"/>
    <w:rsid w:val="00EC7EF1"/>
    <w:rsid w:val="00ED0044"/>
    <w:rsid w:val="00ED0593"/>
    <w:rsid w:val="00ED0AB1"/>
    <w:rsid w:val="00ED0DE9"/>
    <w:rsid w:val="00ED0E39"/>
    <w:rsid w:val="00ED11AE"/>
    <w:rsid w:val="00ED15BF"/>
    <w:rsid w:val="00ED19F4"/>
    <w:rsid w:val="00ED1AF8"/>
    <w:rsid w:val="00ED1CEC"/>
    <w:rsid w:val="00ED2B53"/>
    <w:rsid w:val="00ED2B62"/>
    <w:rsid w:val="00ED3404"/>
    <w:rsid w:val="00ED3B59"/>
    <w:rsid w:val="00ED3EE5"/>
    <w:rsid w:val="00ED407D"/>
    <w:rsid w:val="00ED4D80"/>
    <w:rsid w:val="00ED4DC5"/>
    <w:rsid w:val="00ED4EB3"/>
    <w:rsid w:val="00ED58E3"/>
    <w:rsid w:val="00ED59A6"/>
    <w:rsid w:val="00ED5B56"/>
    <w:rsid w:val="00ED5C87"/>
    <w:rsid w:val="00ED5E78"/>
    <w:rsid w:val="00ED63A5"/>
    <w:rsid w:val="00ED663D"/>
    <w:rsid w:val="00ED6978"/>
    <w:rsid w:val="00ED6A1A"/>
    <w:rsid w:val="00ED6D23"/>
    <w:rsid w:val="00ED7069"/>
    <w:rsid w:val="00ED716C"/>
    <w:rsid w:val="00ED7525"/>
    <w:rsid w:val="00ED76DF"/>
    <w:rsid w:val="00ED7846"/>
    <w:rsid w:val="00ED7AC0"/>
    <w:rsid w:val="00EE01E4"/>
    <w:rsid w:val="00EE0983"/>
    <w:rsid w:val="00EE11E5"/>
    <w:rsid w:val="00EE12C3"/>
    <w:rsid w:val="00EE134E"/>
    <w:rsid w:val="00EE1447"/>
    <w:rsid w:val="00EE14C5"/>
    <w:rsid w:val="00EE195B"/>
    <w:rsid w:val="00EE19AF"/>
    <w:rsid w:val="00EE2305"/>
    <w:rsid w:val="00EE269D"/>
    <w:rsid w:val="00EE2BC0"/>
    <w:rsid w:val="00EE2D60"/>
    <w:rsid w:val="00EE3380"/>
    <w:rsid w:val="00EE353B"/>
    <w:rsid w:val="00EE36D4"/>
    <w:rsid w:val="00EE41F1"/>
    <w:rsid w:val="00EE425E"/>
    <w:rsid w:val="00EE4628"/>
    <w:rsid w:val="00EE471A"/>
    <w:rsid w:val="00EE49F8"/>
    <w:rsid w:val="00EE4A79"/>
    <w:rsid w:val="00EE4B14"/>
    <w:rsid w:val="00EE4DC9"/>
    <w:rsid w:val="00EE4F33"/>
    <w:rsid w:val="00EE508C"/>
    <w:rsid w:val="00EE536E"/>
    <w:rsid w:val="00EE53F4"/>
    <w:rsid w:val="00EE5A6B"/>
    <w:rsid w:val="00EE5E30"/>
    <w:rsid w:val="00EE6058"/>
    <w:rsid w:val="00EE63E1"/>
    <w:rsid w:val="00EE6708"/>
    <w:rsid w:val="00EE71E9"/>
    <w:rsid w:val="00EE7225"/>
    <w:rsid w:val="00EE743F"/>
    <w:rsid w:val="00EE748F"/>
    <w:rsid w:val="00EE75BB"/>
    <w:rsid w:val="00EF0571"/>
    <w:rsid w:val="00EF0AEC"/>
    <w:rsid w:val="00EF0BA7"/>
    <w:rsid w:val="00EF0F1D"/>
    <w:rsid w:val="00EF0FAD"/>
    <w:rsid w:val="00EF145E"/>
    <w:rsid w:val="00EF1CFB"/>
    <w:rsid w:val="00EF23A8"/>
    <w:rsid w:val="00EF2BBB"/>
    <w:rsid w:val="00EF32C1"/>
    <w:rsid w:val="00EF33CC"/>
    <w:rsid w:val="00EF392A"/>
    <w:rsid w:val="00EF3BC8"/>
    <w:rsid w:val="00EF3BFE"/>
    <w:rsid w:val="00EF4015"/>
    <w:rsid w:val="00EF40B0"/>
    <w:rsid w:val="00EF5152"/>
    <w:rsid w:val="00EF5332"/>
    <w:rsid w:val="00EF548F"/>
    <w:rsid w:val="00EF5F74"/>
    <w:rsid w:val="00EF6026"/>
    <w:rsid w:val="00EF6740"/>
    <w:rsid w:val="00EF679A"/>
    <w:rsid w:val="00EF6B98"/>
    <w:rsid w:val="00EF6BA5"/>
    <w:rsid w:val="00EF6D1F"/>
    <w:rsid w:val="00EF7A3E"/>
    <w:rsid w:val="00EF7DCA"/>
    <w:rsid w:val="00EF7FAF"/>
    <w:rsid w:val="00F00119"/>
    <w:rsid w:val="00F001DD"/>
    <w:rsid w:val="00F002D4"/>
    <w:rsid w:val="00F00696"/>
    <w:rsid w:val="00F007CA"/>
    <w:rsid w:val="00F0082D"/>
    <w:rsid w:val="00F008F8"/>
    <w:rsid w:val="00F015AB"/>
    <w:rsid w:val="00F0178E"/>
    <w:rsid w:val="00F018A1"/>
    <w:rsid w:val="00F02194"/>
    <w:rsid w:val="00F021A4"/>
    <w:rsid w:val="00F02A15"/>
    <w:rsid w:val="00F02AA7"/>
    <w:rsid w:val="00F02DBE"/>
    <w:rsid w:val="00F0300C"/>
    <w:rsid w:val="00F03217"/>
    <w:rsid w:val="00F03A4E"/>
    <w:rsid w:val="00F03A65"/>
    <w:rsid w:val="00F046F1"/>
    <w:rsid w:val="00F04879"/>
    <w:rsid w:val="00F05574"/>
    <w:rsid w:val="00F05734"/>
    <w:rsid w:val="00F05FEF"/>
    <w:rsid w:val="00F06074"/>
    <w:rsid w:val="00F064D3"/>
    <w:rsid w:val="00F06859"/>
    <w:rsid w:val="00F073B7"/>
    <w:rsid w:val="00F0761E"/>
    <w:rsid w:val="00F079F4"/>
    <w:rsid w:val="00F07B7C"/>
    <w:rsid w:val="00F07BDA"/>
    <w:rsid w:val="00F07C90"/>
    <w:rsid w:val="00F07D30"/>
    <w:rsid w:val="00F07EC2"/>
    <w:rsid w:val="00F1014A"/>
    <w:rsid w:val="00F10EF8"/>
    <w:rsid w:val="00F11A3E"/>
    <w:rsid w:val="00F11AB5"/>
    <w:rsid w:val="00F11BA2"/>
    <w:rsid w:val="00F11D16"/>
    <w:rsid w:val="00F1258E"/>
    <w:rsid w:val="00F125F4"/>
    <w:rsid w:val="00F12BD9"/>
    <w:rsid w:val="00F12FF3"/>
    <w:rsid w:val="00F1309D"/>
    <w:rsid w:val="00F135F8"/>
    <w:rsid w:val="00F1369C"/>
    <w:rsid w:val="00F139C4"/>
    <w:rsid w:val="00F13F1C"/>
    <w:rsid w:val="00F13F78"/>
    <w:rsid w:val="00F143AC"/>
    <w:rsid w:val="00F14768"/>
    <w:rsid w:val="00F149F8"/>
    <w:rsid w:val="00F14DCC"/>
    <w:rsid w:val="00F150D8"/>
    <w:rsid w:val="00F15277"/>
    <w:rsid w:val="00F15304"/>
    <w:rsid w:val="00F1574D"/>
    <w:rsid w:val="00F15800"/>
    <w:rsid w:val="00F158C6"/>
    <w:rsid w:val="00F1599B"/>
    <w:rsid w:val="00F163F7"/>
    <w:rsid w:val="00F16999"/>
    <w:rsid w:val="00F16FA8"/>
    <w:rsid w:val="00F16FAE"/>
    <w:rsid w:val="00F17195"/>
    <w:rsid w:val="00F17939"/>
    <w:rsid w:val="00F17F05"/>
    <w:rsid w:val="00F205EA"/>
    <w:rsid w:val="00F2069D"/>
    <w:rsid w:val="00F20D75"/>
    <w:rsid w:val="00F20DFC"/>
    <w:rsid w:val="00F20E7C"/>
    <w:rsid w:val="00F21028"/>
    <w:rsid w:val="00F21152"/>
    <w:rsid w:val="00F21469"/>
    <w:rsid w:val="00F217B0"/>
    <w:rsid w:val="00F218F9"/>
    <w:rsid w:val="00F21FE2"/>
    <w:rsid w:val="00F22379"/>
    <w:rsid w:val="00F22951"/>
    <w:rsid w:val="00F22AE4"/>
    <w:rsid w:val="00F231D7"/>
    <w:rsid w:val="00F23381"/>
    <w:rsid w:val="00F23443"/>
    <w:rsid w:val="00F23684"/>
    <w:rsid w:val="00F238F5"/>
    <w:rsid w:val="00F239BF"/>
    <w:rsid w:val="00F23B48"/>
    <w:rsid w:val="00F23EB7"/>
    <w:rsid w:val="00F23FE1"/>
    <w:rsid w:val="00F24111"/>
    <w:rsid w:val="00F24727"/>
    <w:rsid w:val="00F2487F"/>
    <w:rsid w:val="00F24BC0"/>
    <w:rsid w:val="00F25076"/>
    <w:rsid w:val="00F2515B"/>
    <w:rsid w:val="00F25438"/>
    <w:rsid w:val="00F257C3"/>
    <w:rsid w:val="00F25DD1"/>
    <w:rsid w:val="00F263F8"/>
    <w:rsid w:val="00F26D6F"/>
    <w:rsid w:val="00F271E6"/>
    <w:rsid w:val="00F277E8"/>
    <w:rsid w:val="00F27861"/>
    <w:rsid w:val="00F278BF"/>
    <w:rsid w:val="00F302CC"/>
    <w:rsid w:val="00F304FF"/>
    <w:rsid w:val="00F306BC"/>
    <w:rsid w:val="00F3079F"/>
    <w:rsid w:val="00F309B9"/>
    <w:rsid w:val="00F30A12"/>
    <w:rsid w:val="00F3132C"/>
    <w:rsid w:val="00F31609"/>
    <w:rsid w:val="00F316DD"/>
    <w:rsid w:val="00F31764"/>
    <w:rsid w:val="00F31AA0"/>
    <w:rsid w:val="00F31D0C"/>
    <w:rsid w:val="00F32BF4"/>
    <w:rsid w:val="00F32C9A"/>
    <w:rsid w:val="00F32CE6"/>
    <w:rsid w:val="00F32D86"/>
    <w:rsid w:val="00F32FC4"/>
    <w:rsid w:val="00F330B4"/>
    <w:rsid w:val="00F331FD"/>
    <w:rsid w:val="00F33B02"/>
    <w:rsid w:val="00F33DB8"/>
    <w:rsid w:val="00F33DE5"/>
    <w:rsid w:val="00F3421D"/>
    <w:rsid w:val="00F34637"/>
    <w:rsid w:val="00F348D9"/>
    <w:rsid w:val="00F34A38"/>
    <w:rsid w:val="00F34BB4"/>
    <w:rsid w:val="00F34E9F"/>
    <w:rsid w:val="00F3530F"/>
    <w:rsid w:val="00F35758"/>
    <w:rsid w:val="00F35836"/>
    <w:rsid w:val="00F360BB"/>
    <w:rsid w:val="00F36443"/>
    <w:rsid w:val="00F36540"/>
    <w:rsid w:val="00F3673F"/>
    <w:rsid w:val="00F369A7"/>
    <w:rsid w:val="00F37737"/>
    <w:rsid w:val="00F37983"/>
    <w:rsid w:val="00F37A09"/>
    <w:rsid w:val="00F37C5B"/>
    <w:rsid w:val="00F37D5D"/>
    <w:rsid w:val="00F37E36"/>
    <w:rsid w:val="00F37F99"/>
    <w:rsid w:val="00F40063"/>
    <w:rsid w:val="00F4045E"/>
    <w:rsid w:val="00F4048A"/>
    <w:rsid w:val="00F406AD"/>
    <w:rsid w:val="00F407A7"/>
    <w:rsid w:val="00F4093D"/>
    <w:rsid w:val="00F40AEB"/>
    <w:rsid w:val="00F40DC3"/>
    <w:rsid w:val="00F414CD"/>
    <w:rsid w:val="00F41810"/>
    <w:rsid w:val="00F41A5D"/>
    <w:rsid w:val="00F420AF"/>
    <w:rsid w:val="00F42135"/>
    <w:rsid w:val="00F42586"/>
    <w:rsid w:val="00F429DB"/>
    <w:rsid w:val="00F4345E"/>
    <w:rsid w:val="00F43B24"/>
    <w:rsid w:val="00F43BB3"/>
    <w:rsid w:val="00F44104"/>
    <w:rsid w:val="00F449DB"/>
    <w:rsid w:val="00F450E7"/>
    <w:rsid w:val="00F45592"/>
    <w:rsid w:val="00F45B0B"/>
    <w:rsid w:val="00F45C14"/>
    <w:rsid w:val="00F475DC"/>
    <w:rsid w:val="00F47652"/>
    <w:rsid w:val="00F500C0"/>
    <w:rsid w:val="00F504DE"/>
    <w:rsid w:val="00F507AE"/>
    <w:rsid w:val="00F50A75"/>
    <w:rsid w:val="00F50B74"/>
    <w:rsid w:val="00F51127"/>
    <w:rsid w:val="00F51604"/>
    <w:rsid w:val="00F5191D"/>
    <w:rsid w:val="00F51C5C"/>
    <w:rsid w:val="00F51F33"/>
    <w:rsid w:val="00F521E9"/>
    <w:rsid w:val="00F5251B"/>
    <w:rsid w:val="00F52526"/>
    <w:rsid w:val="00F525A0"/>
    <w:rsid w:val="00F52A95"/>
    <w:rsid w:val="00F53010"/>
    <w:rsid w:val="00F531F1"/>
    <w:rsid w:val="00F53419"/>
    <w:rsid w:val="00F53589"/>
    <w:rsid w:val="00F535D6"/>
    <w:rsid w:val="00F53B9C"/>
    <w:rsid w:val="00F54082"/>
    <w:rsid w:val="00F5479E"/>
    <w:rsid w:val="00F54911"/>
    <w:rsid w:val="00F54DD9"/>
    <w:rsid w:val="00F54E74"/>
    <w:rsid w:val="00F54F41"/>
    <w:rsid w:val="00F55531"/>
    <w:rsid w:val="00F55907"/>
    <w:rsid w:val="00F559D9"/>
    <w:rsid w:val="00F55A4C"/>
    <w:rsid w:val="00F55AE3"/>
    <w:rsid w:val="00F55E49"/>
    <w:rsid w:val="00F55F16"/>
    <w:rsid w:val="00F56215"/>
    <w:rsid w:val="00F56481"/>
    <w:rsid w:val="00F56DA7"/>
    <w:rsid w:val="00F56E46"/>
    <w:rsid w:val="00F5726D"/>
    <w:rsid w:val="00F573BD"/>
    <w:rsid w:val="00F57850"/>
    <w:rsid w:val="00F57B3C"/>
    <w:rsid w:val="00F57BED"/>
    <w:rsid w:val="00F60198"/>
    <w:rsid w:val="00F605C9"/>
    <w:rsid w:val="00F60640"/>
    <w:rsid w:val="00F607D8"/>
    <w:rsid w:val="00F60A98"/>
    <w:rsid w:val="00F60C20"/>
    <w:rsid w:val="00F60CAF"/>
    <w:rsid w:val="00F61500"/>
    <w:rsid w:val="00F6191D"/>
    <w:rsid w:val="00F61ABB"/>
    <w:rsid w:val="00F62098"/>
    <w:rsid w:val="00F620DE"/>
    <w:rsid w:val="00F623AC"/>
    <w:rsid w:val="00F6298B"/>
    <w:rsid w:val="00F62E20"/>
    <w:rsid w:val="00F630B3"/>
    <w:rsid w:val="00F63250"/>
    <w:rsid w:val="00F63640"/>
    <w:rsid w:val="00F6389A"/>
    <w:rsid w:val="00F638C5"/>
    <w:rsid w:val="00F63E20"/>
    <w:rsid w:val="00F642A1"/>
    <w:rsid w:val="00F64332"/>
    <w:rsid w:val="00F643C1"/>
    <w:rsid w:val="00F64DA2"/>
    <w:rsid w:val="00F64DD7"/>
    <w:rsid w:val="00F6556A"/>
    <w:rsid w:val="00F657EC"/>
    <w:rsid w:val="00F65B8C"/>
    <w:rsid w:val="00F65E3B"/>
    <w:rsid w:val="00F665A6"/>
    <w:rsid w:val="00F6687F"/>
    <w:rsid w:val="00F6693F"/>
    <w:rsid w:val="00F66960"/>
    <w:rsid w:val="00F66B5B"/>
    <w:rsid w:val="00F66BE6"/>
    <w:rsid w:val="00F67579"/>
    <w:rsid w:val="00F6786B"/>
    <w:rsid w:val="00F679B7"/>
    <w:rsid w:val="00F7075C"/>
    <w:rsid w:val="00F70B71"/>
    <w:rsid w:val="00F70D6A"/>
    <w:rsid w:val="00F71039"/>
    <w:rsid w:val="00F71753"/>
    <w:rsid w:val="00F71A38"/>
    <w:rsid w:val="00F71B2C"/>
    <w:rsid w:val="00F7201E"/>
    <w:rsid w:val="00F7222A"/>
    <w:rsid w:val="00F722F9"/>
    <w:rsid w:val="00F72B23"/>
    <w:rsid w:val="00F72C33"/>
    <w:rsid w:val="00F72F10"/>
    <w:rsid w:val="00F72F4F"/>
    <w:rsid w:val="00F730B9"/>
    <w:rsid w:val="00F732F7"/>
    <w:rsid w:val="00F73806"/>
    <w:rsid w:val="00F7395B"/>
    <w:rsid w:val="00F739BA"/>
    <w:rsid w:val="00F743BD"/>
    <w:rsid w:val="00F7545A"/>
    <w:rsid w:val="00F755C1"/>
    <w:rsid w:val="00F7566A"/>
    <w:rsid w:val="00F7576C"/>
    <w:rsid w:val="00F758E7"/>
    <w:rsid w:val="00F759CA"/>
    <w:rsid w:val="00F75B27"/>
    <w:rsid w:val="00F75C7C"/>
    <w:rsid w:val="00F7613A"/>
    <w:rsid w:val="00F76270"/>
    <w:rsid w:val="00F7655B"/>
    <w:rsid w:val="00F7687B"/>
    <w:rsid w:val="00F76A35"/>
    <w:rsid w:val="00F76B7C"/>
    <w:rsid w:val="00F76E95"/>
    <w:rsid w:val="00F773C2"/>
    <w:rsid w:val="00F77871"/>
    <w:rsid w:val="00F77CB2"/>
    <w:rsid w:val="00F80700"/>
    <w:rsid w:val="00F80901"/>
    <w:rsid w:val="00F80CA4"/>
    <w:rsid w:val="00F81271"/>
    <w:rsid w:val="00F81376"/>
    <w:rsid w:val="00F81505"/>
    <w:rsid w:val="00F819CF"/>
    <w:rsid w:val="00F81A1B"/>
    <w:rsid w:val="00F81BDA"/>
    <w:rsid w:val="00F82746"/>
    <w:rsid w:val="00F82775"/>
    <w:rsid w:val="00F8290D"/>
    <w:rsid w:val="00F82B29"/>
    <w:rsid w:val="00F82C39"/>
    <w:rsid w:val="00F8316E"/>
    <w:rsid w:val="00F836F9"/>
    <w:rsid w:val="00F83F6C"/>
    <w:rsid w:val="00F83FF7"/>
    <w:rsid w:val="00F84034"/>
    <w:rsid w:val="00F842C2"/>
    <w:rsid w:val="00F845D7"/>
    <w:rsid w:val="00F8474E"/>
    <w:rsid w:val="00F84957"/>
    <w:rsid w:val="00F84C7F"/>
    <w:rsid w:val="00F84E1C"/>
    <w:rsid w:val="00F84FBB"/>
    <w:rsid w:val="00F85331"/>
    <w:rsid w:val="00F855D6"/>
    <w:rsid w:val="00F85859"/>
    <w:rsid w:val="00F85A52"/>
    <w:rsid w:val="00F85BF8"/>
    <w:rsid w:val="00F85DAD"/>
    <w:rsid w:val="00F86217"/>
    <w:rsid w:val="00F86631"/>
    <w:rsid w:val="00F86E3D"/>
    <w:rsid w:val="00F87C23"/>
    <w:rsid w:val="00F90125"/>
    <w:rsid w:val="00F9055A"/>
    <w:rsid w:val="00F907C8"/>
    <w:rsid w:val="00F90AB8"/>
    <w:rsid w:val="00F90D75"/>
    <w:rsid w:val="00F90D85"/>
    <w:rsid w:val="00F90E44"/>
    <w:rsid w:val="00F91622"/>
    <w:rsid w:val="00F919A7"/>
    <w:rsid w:val="00F91CC6"/>
    <w:rsid w:val="00F92083"/>
    <w:rsid w:val="00F920BF"/>
    <w:rsid w:val="00F92279"/>
    <w:rsid w:val="00F9238E"/>
    <w:rsid w:val="00F92686"/>
    <w:rsid w:val="00F926F8"/>
    <w:rsid w:val="00F928C7"/>
    <w:rsid w:val="00F9311D"/>
    <w:rsid w:val="00F93207"/>
    <w:rsid w:val="00F93AC5"/>
    <w:rsid w:val="00F93C00"/>
    <w:rsid w:val="00F93E32"/>
    <w:rsid w:val="00F93F76"/>
    <w:rsid w:val="00F9413B"/>
    <w:rsid w:val="00F942BC"/>
    <w:rsid w:val="00F94499"/>
    <w:rsid w:val="00F94B64"/>
    <w:rsid w:val="00F95043"/>
    <w:rsid w:val="00F950D5"/>
    <w:rsid w:val="00F951D5"/>
    <w:rsid w:val="00F952FD"/>
    <w:rsid w:val="00F955D5"/>
    <w:rsid w:val="00F9591F"/>
    <w:rsid w:val="00F95CCA"/>
    <w:rsid w:val="00F961F4"/>
    <w:rsid w:val="00F96540"/>
    <w:rsid w:val="00F96777"/>
    <w:rsid w:val="00F96AEF"/>
    <w:rsid w:val="00F96D7A"/>
    <w:rsid w:val="00F96E8A"/>
    <w:rsid w:val="00F97607"/>
    <w:rsid w:val="00F97690"/>
    <w:rsid w:val="00F97ACD"/>
    <w:rsid w:val="00F97C80"/>
    <w:rsid w:val="00F97D0E"/>
    <w:rsid w:val="00F97E29"/>
    <w:rsid w:val="00FA0124"/>
    <w:rsid w:val="00FA0174"/>
    <w:rsid w:val="00FA079C"/>
    <w:rsid w:val="00FA081A"/>
    <w:rsid w:val="00FA0AE8"/>
    <w:rsid w:val="00FA0B24"/>
    <w:rsid w:val="00FA10AC"/>
    <w:rsid w:val="00FA10DD"/>
    <w:rsid w:val="00FA145A"/>
    <w:rsid w:val="00FA149B"/>
    <w:rsid w:val="00FA1A67"/>
    <w:rsid w:val="00FA1BDE"/>
    <w:rsid w:val="00FA1CEA"/>
    <w:rsid w:val="00FA1D42"/>
    <w:rsid w:val="00FA1EAE"/>
    <w:rsid w:val="00FA2002"/>
    <w:rsid w:val="00FA2764"/>
    <w:rsid w:val="00FA30F1"/>
    <w:rsid w:val="00FA35F1"/>
    <w:rsid w:val="00FA3689"/>
    <w:rsid w:val="00FA3A72"/>
    <w:rsid w:val="00FA3E51"/>
    <w:rsid w:val="00FA451A"/>
    <w:rsid w:val="00FA4631"/>
    <w:rsid w:val="00FA4C71"/>
    <w:rsid w:val="00FA4DDD"/>
    <w:rsid w:val="00FA4EBB"/>
    <w:rsid w:val="00FA4F1B"/>
    <w:rsid w:val="00FA4FA6"/>
    <w:rsid w:val="00FA51EF"/>
    <w:rsid w:val="00FA52A4"/>
    <w:rsid w:val="00FA578E"/>
    <w:rsid w:val="00FA5CA0"/>
    <w:rsid w:val="00FA5D18"/>
    <w:rsid w:val="00FA5D78"/>
    <w:rsid w:val="00FA5D79"/>
    <w:rsid w:val="00FA612A"/>
    <w:rsid w:val="00FA617F"/>
    <w:rsid w:val="00FA67C9"/>
    <w:rsid w:val="00FA694E"/>
    <w:rsid w:val="00FA6AD4"/>
    <w:rsid w:val="00FA6C50"/>
    <w:rsid w:val="00FA6E22"/>
    <w:rsid w:val="00FA6EA0"/>
    <w:rsid w:val="00FA75B7"/>
    <w:rsid w:val="00FA761F"/>
    <w:rsid w:val="00FA7839"/>
    <w:rsid w:val="00FA79E0"/>
    <w:rsid w:val="00FA7AE3"/>
    <w:rsid w:val="00FA7C78"/>
    <w:rsid w:val="00FA7DA8"/>
    <w:rsid w:val="00FB02FB"/>
    <w:rsid w:val="00FB079D"/>
    <w:rsid w:val="00FB0943"/>
    <w:rsid w:val="00FB0C63"/>
    <w:rsid w:val="00FB0D0B"/>
    <w:rsid w:val="00FB105E"/>
    <w:rsid w:val="00FB134E"/>
    <w:rsid w:val="00FB1565"/>
    <w:rsid w:val="00FB170F"/>
    <w:rsid w:val="00FB186F"/>
    <w:rsid w:val="00FB18F7"/>
    <w:rsid w:val="00FB1967"/>
    <w:rsid w:val="00FB1C15"/>
    <w:rsid w:val="00FB1D15"/>
    <w:rsid w:val="00FB2050"/>
    <w:rsid w:val="00FB2412"/>
    <w:rsid w:val="00FB26F7"/>
    <w:rsid w:val="00FB2B26"/>
    <w:rsid w:val="00FB2E1F"/>
    <w:rsid w:val="00FB365C"/>
    <w:rsid w:val="00FB3696"/>
    <w:rsid w:val="00FB3C92"/>
    <w:rsid w:val="00FB40AC"/>
    <w:rsid w:val="00FB49A6"/>
    <w:rsid w:val="00FB4B0A"/>
    <w:rsid w:val="00FB4B34"/>
    <w:rsid w:val="00FB4D21"/>
    <w:rsid w:val="00FB4E76"/>
    <w:rsid w:val="00FB51F3"/>
    <w:rsid w:val="00FB534E"/>
    <w:rsid w:val="00FB55EE"/>
    <w:rsid w:val="00FB5937"/>
    <w:rsid w:val="00FB5E09"/>
    <w:rsid w:val="00FB5E9A"/>
    <w:rsid w:val="00FB5FE3"/>
    <w:rsid w:val="00FB67E4"/>
    <w:rsid w:val="00FB6BD7"/>
    <w:rsid w:val="00FB7584"/>
    <w:rsid w:val="00FB762B"/>
    <w:rsid w:val="00FB7E85"/>
    <w:rsid w:val="00FB7EF1"/>
    <w:rsid w:val="00FC00D2"/>
    <w:rsid w:val="00FC011A"/>
    <w:rsid w:val="00FC0167"/>
    <w:rsid w:val="00FC03DC"/>
    <w:rsid w:val="00FC0524"/>
    <w:rsid w:val="00FC0602"/>
    <w:rsid w:val="00FC08A1"/>
    <w:rsid w:val="00FC0C86"/>
    <w:rsid w:val="00FC0C97"/>
    <w:rsid w:val="00FC0CDD"/>
    <w:rsid w:val="00FC1071"/>
    <w:rsid w:val="00FC133A"/>
    <w:rsid w:val="00FC15C1"/>
    <w:rsid w:val="00FC21A9"/>
    <w:rsid w:val="00FC239C"/>
    <w:rsid w:val="00FC2430"/>
    <w:rsid w:val="00FC246A"/>
    <w:rsid w:val="00FC24BC"/>
    <w:rsid w:val="00FC2628"/>
    <w:rsid w:val="00FC27CD"/>
    <w:rsid w:val="00FC2858"/>
    <w:rsid w:val="00FC28ED"/>
    <w:rsid w:val="00FC2A0F"/>
    <w:rsid w:val="00FC2A99"/>
    <w:rsid w:val="00FC2C47"/>
    <w:rsid w:val="00FC3072"/>
    <w:rsid w:val="00FC310D"/>
    <w:rsid w:val="00FC31C2"/>
    <w:rsid w:val="00FC333B"/>
    <w:rsid w:val="00FC39EB"/>
    <w:rsid w:val="00FC3B01"/>
    <w:rsid w:val="00FC4492"/>
    <w:rsid w:val="00FC45D0"/>
    <w:rsid w:val="00FC45E9"/>
    <w:rsid w:val="00FC4874"/>
    <w:rsid w:val="00FC4E39"/>
    <w:rsid w:val="00FC5528"/>
    <w:rsid w:val="00FC5930"/>
    <w:rsid w:val="00FC5B98"/>
    <w:rsid w:val="00FC5BC6"/>
    <w:rsid w:val="00FC5E12"/>
    <w:rsid w:val="00FC5EF2"/>
    <w:rsid w:val="00FC5F16"/>
    <w:rsid w:val="00FC5F87"/>
    <w:rsid w:val="00FC6693"/>
    <w:rsid w:val="00FC6ADA"/>
    <w:rsid w:val="00FC6CFA"/>
    <w:rsid w:val="00FC6D11"/>
    <w:rsid w:val="00FC6DB4"/>
    <w:rsid w:val="00FC7600"/>
    <w:rsid w:val="00FC7728"/>
    <w:rsid w:val="00FC7900"/>
    <w:rsid w:val="00FC7A86"/>
    <w:rsid w:val="00FC7F1B"/>
    <w:rsid w:val="00FC7FE6"/>
    <w:rsid w:val="00FD06E1"/>
    <w:rsid w:val="00FD0BA8"/>
    <w:rsid w:val="00FD0FF6"/>
    <w:rsid w:val="00FD125C"/>
    <w:rsid w:val="00FD187D"/>
    <w:rsid w:val="00FD18B1"/>
    <w:rsid w:val="00FD1B46"/>
    <w:rsid w:val="00FD1C7F"/>
    <w:rsid w:val="00FD1E2A"/>
    <w:rsid w:val="00FD2369"/>
    <w:rsid w:val="00FD281B"/>
    <w:rsid w:val="00FD284F"/>
    <w:rsid w:val="00FD2888"/>
    <w:rsid w:val="00FD2AE3"/>
    <w:rsid w:val="00FD2E4F"/>
    <w:rsid w:val="00FD2FEF"/>
    <w:rsid w:val="00FD304E"/>
    <w:rsid w:val="00FD3177"/>
    <w:rsid w:val="00FD3372"/>
    <w:rsid w:val="00FD349C"/>
    <w:rsid w:val="00FD3A33"/>
    <w:rsid w:val="00FD3AD4"/>
    <w:rsid w:val="00FD3BD3"/>
    <w:rsid w:val="00FD3D55"/>
    <w:rsid w:val="00FD425F"/>
    <w:rsid w:val="00FD4331"/>
    <w:rsid w:val="00FD4A59"/>
    <w:rsid w:val="00FD4AD8"/>
    <w:rsid w:val="00FD4C82"/>
    <w:rsid w:val="00FD4EBB"/>
    <w:rsid w:val="00FD504E"/>
    <w:rsid w:val="00FD52C8"/>
    <w:rsid w:val="00FD5920"/>
    <w:rsid w:val="00FD59D5"/>
    <w:rsid w:val="00FD5F0C"/>
    <w:rsid w:val="00FD691E"/>
    <w:rsid w:val="00FD7422"/>
    <w:rsid w:val="00FD786D"/>
    <w:rsid w:val="00FE000F"/>
    <w:rsid w:val="00FE0C43"/>
    <w:rsid w:val="00FE0E71"/>
    <w:rsid w:val="00FE107D"/>
    <w:rsid w:val="00FE15D8"/>
    <w:rsid w:val="00FE1634"/>
    <w:rsid w:val="00FE16FF"/>
    <w:rsid w:val="00FE17BE"/>
    <w:rsid w:val="00FE1A49"/>
    <w:rsid w:val="00FE1C5D"/>
    <w:rsid w:val="00FE1CCD"/>
    <w:rsid w:val="00FE203F"/>
    <w:rsid w:val="00FE23B1"/>
    <w:rsid w:val="00FE2548"/>
    <w:rsid w:val="00FE2601"/>
    <w:rsid w:val="00FE2686"/>
    <w:rsid w:val="00FE2894"/>
    <w:rsid w:val="00FE28AC"/>
    <w:rsid w:val="00FE2933"/>
    <w:rsid w:val="00FE2A64"/>
    <w:rsid w:val="00FE2AEB"/>
    <w:rsid w:val="00FE3279"/>
    <w:rsid w:val="00FE384B"/>
    <w:rsid w:val="00FE3B49"/>
    <w:rsid w:val="00FE3F51"/>
    <w:rsid w:val="00FE418D"/>
    <w:rsid w:val="00FE440D"/>
    <w:rsid w:val="00FE480C"/>
    <w:rsid w:val="00FE4B1D"/>
    <w:rsid w:val="00FE4F46"/>
    <w:rsid w:val="00FE554F"/>
    <w:rsid w:val="00FE5D44"/>
    <w:rsid w:val="00FE5F7C"/>
    <w:rsid w:val="00FE626D"/>
    <w:rsid w:val="00FE686F"/>
    <w:rsid w:val="00FE68BB"/>
    <w:rsid w:val="00FE6C8C"/>
    <w:rsid w:val="00FE6D29"/>
    <w:rsid w:val="00FE782D"/>
    <w:rsid w:val="00FE78D6"/>
    <w:rsid w:val="00FE7B46"/>
    <w:rsid w:val="00FE7D8C"/>
    <w:rsid w:val="00FE7E63"/>
    <w:rsid w:val="00FE7EE2"/>
    <w:rsid w:val="00FF0117"/>
    <w:rsid w:val="00FF0268"/>
    <w:rsid w:val="00FF02AC"/>
    <w:rsid w:val="00FF036E"/>
    <w:rsid w:val="00FF0637"/>
    <w:rsid w:val="00FF07EF"/>
    <w:rsid w:val="00FF0A07"/>
    <w:rsid w:val="00FF0B94"/>
    <w:rsid w:val="00FF0BC1"/>
    <w:rsid w:val="00FF0CB6"/>
    <w:rsid w:val="00FF0F36"/>
    <w:rsid w:val="00FF1130"/>
    <w:rsid w:val="00FF1144"/>
    <w:rsid w:val="00FF129D"/>
    <w:rsid w:val="00FF1551"/>
    <w:rsid w:val="00FF1B17"/>
    <w:rsid w:val="00FF1C60"/>
    <w:rsid w:val="00FF1DFC"/>
    <w:rsid w:val="00FF1F7E"/>
    <w:rsid w:val="00FF2793"/>
    <w:rsid w:val="00FF2BB9"/>
    <w:rsid w:val="00FF2DD5"/>
    <w:rsid w:val="00FF2F23"/>
    <w:rsid w:val="00FF3127"/>
    <w:rsid w:val="00FF3AFD"/>
    <w:rsid w:val="00FF447A"/>
    <w:rsid w:val="00FF46D6"/>
    <w:rsid w:val="00FF475E"/>
    <w:rsid w:val="00FF48FA"/>
    <w:rsid w:val="00FF4E59"/>
    <w:rsid w:val="00FF562E"/>
    <w:rsid w:val="00FF58D1"/>
    <w:rsid w:val="00FF5AD4"/>
    <w:rsid w:val="00FF5AE5"/>
    <w:rsid w:val="00FF5E33"/>
    <w:rsid w:val="00FF5EEB"/>
    <w:rsid w:val="00FF6180"/>
    <w:rsid w:val="00FF67A8"/>
    <w:rsid w:val="00FF6991"/>
    <w:rsid w:val="00FF6A71"/>
    <w:rsid w:val="00FF706B"/>
    <w:rsid w:val="00FF71AA"/>
    <w:rsid w:val="00FF72EE"/>
    <w:rsid w:val="00FF77C6"/>
    <w:rsid w:val="00FF7AF3"/>
    <w:rsid w:val="018CC174"/>
    <w:rsid w:val="01B46C62"/>
    <w:rsid w:val="01F01112"/>
    <w:rsid w:val="02255A73"/>
    <w:rsid w:val="026A8854"/>
    <w:rsid w:val="0298ED29"/>
    <w:rsid w:val="02B84B30"/>
    <w:rsid w:val="03097E29"/>
    <w:rsid w:val="033F6B4B"/>
    <w:rsid w:val="036EBD81"/>
    <w:rsid w:val="03B2D89A"/>
    <w:rsid w:val="03D4BFC7"/>
    <w:rsid w:val="03DBE1A3"/>
    <w:rsid w:val="044A1203"/>
    <w:rsid w:val="045D32BD"/>
    <w:rsid w:val="047821D8"/>
    <w:rsid w:val="04B616EA"/>
    <w:rsid w:val="04FB274D"/>
    <w:rsid w:val="0534580C"/>
    <w:rsid w:val="056E28B0"/>
    <w:rsid w:val="05E39588"/>
    <w:rsid w:val="06064DBE"/>
    <w:rsid w:val="06216D5E"/>
    <w:rsid w:val="062C2E51"/>
    <w:rsid w:val="066964ED"/>
    <w:rsid w:val="06832317"/>
    <w:rsid w:val="0683F3AE"/>
    <w:rsid w:val="06A2ECF7"/>
    <w:rsid w:val="06F77DED"/>
    <w:rsid w:val="071FA93F"/>
    <w:rsid w:val="074F2C64"/>
    <w:rsid w:val="0769A9C6"/>
    <w:rsid w:val="0775723E"/>
    <w:rsid w:val="077D63A9"/>
    <w:rsid w:val="077F75A0"/>
    <w:rsid w:val="078D79CC"/>
    <w:rsid w:val="07B80D5C"/>
    <w:rsid w:val="07CF8696"/>
    <w:rsid w:val="0804A9F7"/>
    <w:rsid w:val="080E8D63"/>
    <w:rsid w:val="08122679"/>
    <w:rsid w:val="081F4021"/>
    <w:rsid w:val="082371B5"/>
    <w:rsid w:val="08889D05"/>
    <w:rsid w:val="089E4D98"/>
    <w:rsid w:val="08CA29D4"/>
    <w:rsid w:val="09652FF4"/>
    <w:rsid w:val="09678BEB"/>
    <w:rsid w:val="096CD60E"/>
    <w:rsid w:val="09A0F444"/>
    <w:rsid w:val="09B2A2B3"/>
    <w:rsid w:val="09EC7CAE"/>
    <w:rsid w:val="0A3A72F0"/>
    <w:rsid w:val="0A56E513"/>
    <w:rsid w:val="0A723730"/>
    <w:rsid w:val="0A8E945E"/>
    <w:rsid w:val="0A93A39A"/>
    <w:rsid w:val="0AA902B9"/>
    <w:rsid w:val="0ADF4400"/>
    <w:rsid w:val="0B35EF8C"/>
    <w:rsid w:val="0B7174B8"/>
    <w:rsid w:val="0BCE4B22"/>
    <w:rsid w:val="0BD24AD1"/>
    <w:rsid w:val="0BE1C1EE"/>
    <w:rsid w:val="0C09D85F"/>
    <w:rsid w:val="0C1129AA"/>
    <w:rsid w:val="0C204B76"/>
    <w:rsid w:val="0C3952FE"/>
    <w:rsid w:val="0C4C516C"/>
    <w:rsid w:val="0C5A526B"/>
    <w:rsid w:val="0C900505"/>
    <w:rsid w:val="0CAF0E46"/>
    <w:rsid w:val="0CC4064B"/>
    <w:rsid w:val="0CF33A0C"/>
    <w:rsid w:val="0D21CCF0"/>
    <w:rsid w:val="0DC964CE"/>
    <w:rsid w:val="0DE9C704"/>
    <w:rsid w:val="0E0F513A"/>
    <w:rsid w:val="0E3A7C94"/>
    <w:rsid w:val="0E440EC4"/>
    <w:rsid w:val="0E5B41DB"/>
    <w:rsid w:val="0EB4431E"/>
    <w:rsid w:val="0EF5AD2C"/>
    <w:rsid w:val="0EFD0DD2"/>
    <w:rsid w:val="0F73181C"/>
    <w:rsid w:val="0F81676C"/>
    <w:rsid w:val="0FB9DFF3"/>
    <w:rsid w:val="0FBCD8E5"/>
    <w:rsid w:val="0FCC3584"/>
    <w:rsid w:val="0FE3E916"/>
    <w:rsid w:val="0FF63BE2"/>
    <w:rsid w:val="10084E65"/>
    <w:rsid w:val="1010C8CE"/>
    <w:rsid w:val="102A3E7C"/>
    <w:rsid w:val="1035BC21"/>
    <w:rsid w:val="10539910"/>
    <w:rsid w:val="1079AB07"/>
    <w:rsid w:val="107C8E46"/>
    <w:rsid w:val="10F335A1"/>
    <w:rsid w:val="110CC421"/>
    <w:rsid w:val="1117F045"/>
    <w:rsid w:val="113BE076"/>
    <w:rsid w:val="11575DAF"/>
    <w:rsid w:val="1159D150"/>
    <w:rsid w:val="1170DE7B"/>
    <w:rsid w:val="1172AA36"/>
    <w:rsid w:val="1174F87B"/>
    <w:rsid w:val="118FC830"/>
    <w:rsid w:val="11CF2308"/>
    <w:rsid w:val="125EEB1E"/>
    <w:rsid w:val="128142AD"/>
    <w:rsid w:val="1298F963"/>
    <w:rsid w:val="12F5A1B1"/>
    <w:rsid w:val="12FE03BB"/>
    <w:rsid w:val="13437037"/>
    <w:rsid w:val="13591011"/>
    <w:rsid w:val="13A85A40"/>
    <w:rsid w:val="13C4F07B"/>
    <w:rsid w:val="13D69636"/>
    <w:rsid w:val="13F37F63"/>
    <w:rsid w:val="141E62E4"/>
    <w:rsid w:val="144E3167"/>
    <w:rsid w:val="14829B3A"/>
    <w:rsid w:val="14AE5780"/>
    <w:rsid w:val="14D2276E"/>
    <w:rsid w:val="1514F1E1"/>
    <w:rsid w:val="1517F93E"/>
    <w:rsid w:val="151A759E"/>
    <w:rsid w:val="153567BC"/>
    <w:rsid w:val="154CD74B"/>
    <w:rsid w:val="15931B22"/>
    <w:rsid w:val="15967FB9"/>
    <w:rsid w:val="15C98C02"/>
    <w:rsid w:val="15E24CF0"/>
    <w:rsid w:val="15F9050E"/>
    <w:rsid w:val="1603B261"/>
    <w:rsid w:val="16056285"/>
    <w:rsid w:val="16145286"/>
    <w:rsid w:val="162A150D"/>
    <w:rsid w:val="16371739"/>
    <w:rsid w:val="1646DF54"/>
    <w:rsid w:val="169BB2F9"/>
    <w:rsid w:val="16B77852"/>
    <w:rsid w:val="16BB468E"/>
    <w:rsid w:val="170D6911"/>
    <w:rsid w:val="17208006"/>
    <w:rsid w:val="174A4987"/>
    <w:rsid w:val="176AC952"/>
    <w:rsid w:val="1789844D"/>
    <w:rsid w:val="17AAD631"/>
    <w:rsid w:val="17F0E94A"/>
    <w:rsid w:val="17FEB51C"/>
    <w:rsid w:val="1826E0F1"/>
    <w:rsid w:val="1829CE37"/>
    <w:rsid w:val="1838AE91"/>
    <w:rsid w:val="186393F0"/>
    <w:rsid w:val="18A0CF38"/>
    <w:rsid w:val="18D56321"/>
    <w:rsid w:val="191BD6AD"/>
    <w:rsid w:val="195D13EC"/>
    <w:rsid w:val="198FBAED"/>
    <w:rsid w:val="19B48D29"/>
    <w:rsid w:val="1A2BF0A7"/>
    <w:rsid w:val="1A480713"/>
    <w:rsid w:val="1A727B2D"/>
    <w:rsid w:val="1A76CA01"/>
    <w:rsid w:val="1A955582"/>
    <w:rsid w:val="1AA6525F"/>
    <w:rsid w:val="1ACBA37E"/>
    <w:rsid w:val="1AECCECE"/>
    <w:rsid w:val="1B58A30A"/>
    <w:rsid w:val="1B886514"/>
    <w:rsid w:val="1B8B1D14"/>
    <w:rsid w:val="1B8EADA7"/>
    <w:rsid w:val="1B95910E"/>
    <w:rsid w:val="1B9EB15A"/>
    <w:rsid w:val="1BA762D4"/>
    <w:rsid w:val="1BA84D6C"/>
    <w:rsid w:val="1BD942C0"/>
    <w:rsid w:val="1C0A6309"/>
    <w:rsid w:val="1C510688"/>
    <w:rsid w:val="1CA486AD"/>
    <w:rsid w:val="1CD91505"/>
    <w:rsid w:val="1CE9B646"/>
    <w:rsid w:val="1D04FC90"/>
    <w:rsid w:val="1D2FB13D"/>
    <w:rsid w:val="1D48CF23"/>
    <w:rsid w:val="1D5C4490"/>
    <w:rsid w:val="1DABE864"/>
    <w:rsid w:val="1DFBD446"/>
    <w:rsid w:val="1E1BEF55"/>
    <w:rsid w:val="1E2A68FA"/>
    <w:rsid w:val="1E3126F4"/>
    <w:rsid w:val="1E486584"/>
    <w:rsid w:val="1E9CED5B"/>
    <w:rsid w:val="1EC1D650"/>
    <w:rsid w:val="1EC3429F"/>
    <w:rsid w:val="1ECF77E2"/>
    <w:rsid w:val="1EDFA29A"/>
    <w:rsid w:val="1EEA2496"/>
    <w:rsid w:val="1F74A117"/>
    <w:rsid w:val="1FA29195"/>
    <w:rsid w:val="1FA88FC4"/>
    <w:rsid w:val="1FB0DE1D"/>
    <w:rsid w:val="200B27CC"/>
    <w:rsid w:val="2026C0C8"/>
    <w:rsid w:val="20AB5F18"/>
    <w:rsid w:val="20BB7777"/>
    <w:rsid w:val="20C7DC6D"/>
    <w:rsid w:val="20C88024"/>
    <w:rsid w:val="20C9D024"/>
    <w:rsid w:val="20CDE515"/>
    <w:rsid w:val="20E21B0A"/>
    <w:rsid w:val="20ED6961"/>
    <w:rsid w:val="2124D5DB"/>
    <w:rsid w:val="2130BAE1"/>
    <w:rsid w:val="21456B03"/>
    <w:rsid w:val="21BE048B"/>
    <w:rsid w:val="21F09F44"/>
    <w:rsid w:val="22019AEC"/>
    <w:rsid w:val="2216433A"/>
    <w:rsid w:val="2267F02B"/>
    <w:rsid w:val="227817F7"/>
    <w:rsid w:val="22A49A91"/>
    <w:rsid w:val="231EBDEC"/>
    <w:rsid w:val="23581337"/>
    <w:rsid w:val="238D677F"/>
    <w:rsid w:val="23BD2BCD"/>
    <w:rsid w:val="23C0EFB8"/>
    <w:rsid w:val="2415A965"/>
    <w:rsid w:val="2427031B"/>
    <w:rsid w:val="243A5314"/>
    <w:rsid w:val="244B1AFF"/>
    <w:rsid w:val="246DACAE"/>
    <w:rsid w:val="246DE519"/>
    <w:rsid w:val="24713658"/>
    <w:rsid w:val="249B2AFD"/>
    <w:rsid w:val="24EA7B0C"/>
    <w:rsid w:val="251D9538"/>
    <w:rsid w:val="25299564"/>
    <w:rsid w:val="252DC95E"/>
    <w:rsid w:val="25ACFD90"/>
    <w:rsid w:val="265594E0"/>
    <w:rsid w:val="267FDE27"/>
    <w:rsid w:val="268A52D5"/>
    <w:rsid w:val="26B65C12"/>
    <w:rsid w:val="26BF7899"/>
    <w:rsid w:val="26C9BCB3"/>
    <w:rsid w:val="26EB4C6D"/>
    <w:rsid w:val="275777C2"/>
    <w:rsid w:val="278E59C4"/>
    <w:rsid w:val="27CD0137"/>
    <w:rsid w:val="281A8A77"/>
    <w:rsid w:val="282A6758"/>
    <w:rsid w:val="28472352"/>
    <w:rsid w:val="28A76CB2"/>
    <w:rsid w:val="28C062C7"/>
    <w:rsid w:val="28C7CC2A"/>
    <w:rsid w:val="28EB8D6E"/>
    <w:rsid w:val="28F3E580"/>
    <w:rsid w:val="28F68772"/>
    <w:rsid w:val="29501C30"/>
    <w:rsid w:val="29A88EB1"/>
    <w:rsid w:val="29B912D8"/>
    <w:rsid w:val="29C43BB0"/>
    <w:rsid w:val="29E55755"/>
    <w:rsid w:val="29FB547F"/>
    <w:rsid w:val="29FC0521"/>
    <w:rsid w:val="2A0CB28A"/>
    <w:rsid w:val="2A358861"/>
    <w:rsid w:val="2A396048"/>
    <w:rsid w:val="2A8962B6"/>
    <w:rsid w:val="2ABED27F"/>
    <w:rsid w:val="2AE30097"/>
    <w:rsid w:val="2AF5ED63"/>
    <w:rsid w:val="2AF7D9D3"/>
    <w:rsid w:val="2B34553C"/>
    <w:rsid w:val="2B4616DE"/>
    <w:rsid w:val="2B465438"/>
    <w:rsid w:val="2C0CF738"/>
    <w:rsid w:val="2C47773C"/>
    <w:rsid w:val="2C565F79"/>
    <w:rsid w:val="2C610597"/>
    <w:rsid w:val="2C6FAF61"/>
    <w:rsid w:val="2CB6D5BA"/>
    <w:rsid w:val="2CCE3D7C"/>
    <w:rsid w:val="2CFF918C"/>
    <w:rsid w:val="2D12B4EA"/>
    <w:rsid w:val="2D4AAC70"/>
    <w:rsid w:val="2D4E5E02"/>
    <w:rsid w:val="2D5D97CD"/>
    <w:rsid w:val="2D962BFC"/>
    <w:rsid w:val="2DE0B53B"/>
    <w:rsid w:val="2EB63205"/>
    <w:rsid w:val="2EB94E9B"/>
    <w:rsid w:val="2EBEBC56"/>
    <w:rsid w:val="2EFFD7CF"/>
    <w:rsid w:val="2F074D3D"/>
    <w:rsid w:val="2F49AE8D"/>
    <w:rsid w:val="2F6E4710"/>
    <w:rsid w:val="2FED2356"/>
    <w:rsid w:val="30228870"/>
    <w:rsid w:val="3035766D"/>
    <w:rsid w:val="30578155"/>
    <w:rsid w:val="305F2F36"/>
    <w:rsid w:val="30EF0269"/>
    <w:rsid w:val="30EFC569"/>
    <w:rsid w:val="30FBB88B"/>
    <w:rsid w:val="311F4409"/>
    <w:rsid w:val="31339F76"/>
    <w:rsid w:val="31395E75"/>
    <w:rsid w:val="314FF488"/>
    <w:rsid w:val="318831E5"/>
    <w:rsid w:val="31C3F55C"/>
    <w:rsid w:val="31D24045"/>
    <w:rsid w:val="31E78F61"/>
    <w:rsid w:val="320653CF"/>
    <w:rsid w:val="3245D944"/>
    <w:rsid w:val="324D102B"/>
    <w:rsid w:val="3260C383"/>
    <w:rsid w:val="3264D1A5"/>
    <w:rsid w:val="32B9354D"/>
    <w:rsid w:val="32CE3E63"/>
    <w:rsid w:val="32DD5AF0"/>
    <w:rsid w:val="32FF6D0D"/>
    <w:rsid w:val="33AB4868"/>
    <w:rsid w:val="33C5AC28"/>
    <w:rsid w:val="33D6FA39"/>
    <w:rsid w:val="3433E2F9"/>
    <w:rsid w:val="343906A4"/>
    <w:rsid w:val="346F9C52"/>
    <w:rsid w:val="34E87543"/>
    <w:rsid w:val="351A9251"/>
    <w:rsid w:val="353403DC"/>
    <w:rsid w:val="35B33B86"/>
    <w:rsid w:val="35DE5762"/>
    <w:rsid w:val="365115E1"/>
    <w:rsid w:val="3667E5B1"/>
    <w:rsid w:val="36738354"/>
    <w:rsid w:val="3686F78C"/>
    <w:rsid w:val="370840F7"/>
    <w:rsid w:val="377031FE"/>
    <w:rsid w:val="3771A385"/>
    <w:rsid w:val="3771B46B"/>
    <w:rsid w:val="37CF63E8"/>
    <w:rsid w:val="381FB60D"/>
    <w:rsid w:val="38765364"/>
    <w:rsid w:val="388AA784"/>
    <w:rsid w:val="38BF519F"/>
    <w:rsid w:val="38C8363E"/>
    <w:rsid w:val="38E45177"/>
    <w:rsid w:val="3932EFD2"/>
    <w:rsid w:val="39432945"/>
    <w:rsid w:val="3944FB06"/>
    <w:rsid w:val="3966AEE2"/>
    <w:rsid w:val="39A0D1B8"/>
    <w:rsid w:val="39CB0DA3"/>
    <w:rsid w:val="39D6B33E"/>
    <w:rsid w:val="3A0B4678"/>
    <w:rsid w:val="3A0BDA01"/>
    <w:rsid w:val="3A1CC6B3"/>
    <w:rsid w:val="3A3775C2"/>
    <w:rsid w:val="3A3E4C0B"/>
    <w:rsid w:val="3AA2B6D7"/>
    <w:rsid w:val="3AC2F995"/>
    <w:rsid w:val="3B4F6E5F"/>
    <w:rsid w:val="3B676DA3"/>
    <w:rsid w:val="3B9C0B1B"/>
    <w:rsid w:val="3BF64E29"/>
    <w:rsid w:val="3CC1B82B"/>
    <w:rsid w:val="3CCB925C"/>
    <w:rsid w:val="3D154E51"/>
    <w:rsid w:val="3D1E0525"/>
    <w:rsid w:val="3D20ADD5"/>
    <w:rsid w:val="3D2678AC"/>
    <w:rsid w:val="3D544D00"/>
    <w:rsid w:val="3D74936C"/>
    <w:rsid w:val="3D74D276"/>
    <w:rsid w:val="3DAFEB78"/>
    <w:rsid w:val="3E13813F"/>
    <w:rsid w:val="3E175921"/>
    <w:rsid w:val="3E63407C"/>
    <w:rsid w:val="3E7D7C47"/>
    <w:rsid w:val="3F262A71"/>
    <w:rsid w:val="3F297153"/>
    <w:rsid w:val="3F3A0F76"/>
    <w:rsid w:val="3FB312AB"/>
    <w:rsid w:val="3FC8F2B7"/>
    <w:rsid w:val="40152C7E"/>
    <w:rsid w:val="4053BB31"/>
    <w:rsid w:val="40575E45"/>
    <w:rsid w:val="40607C61"/>
    <w:rsid w:val="40C44C43"/>
    <w:rsid w:val="40D0C55D"/>
    <w:rsid w:val="40F6D2C3"/>
    <w:rsid w:val="40F9366F"/>
    <w:rsid w:val="41A5E186"/>
    <w:rsid w:val="41E73E9E"/>
    <w:rsid w:val="421B2F7D"/>
    <w:rsid w:val="422EB282"/>
    <w:rsid w:val="427906B3"/>
    <w:rsid w:val="42902F5C"/>
    <w:rsid w:val="42A0A0E5"/>
    <w:rsid w:val="42A127E5"/>
    <w:rsid w:val="42DA453F"/>
    <w:rsid w:val="42E7D4DB"/>
    <w:rsid w:val="434FCA4B"/>
    <w:rsid w:val="44293515"/>
    <w:rsid w:val="445BD8CE"/>
    <w:rsid w:val="446991A6"/>
    <w:rsid w:val="447F361E"/>
    <w:rsid w:val="45042BCE"/>
    <w:rsid w:val="45090A2B"/>
    <w:rsid w:val="45542D8B"/>
    <w:rsid w:val="4601689B"/>
    <w:rsid w:val="46285DC8"/>
    <w:rsid w:val="463AFADF"/>
    <w:rsid w:val="4644BA82"/>
    <w:rsid w:val="465C3875"/>
    <w:rsid w:val="46B29A74"/>
    <w:rsid w:val="46CD2B0B"/>
    <w:rsid w:val="46DF4ACC"/>
    <w:rsid w:val="46E1F7BD"/>
    <w:rsid w:val="47090203"/>
    <w:rsid w:val="472E8BC9"/>
    <w:rsid w:val="47433507"/>
    <w:rsid w:val="47461EE2"/>
    <w:rsid w:val="476401F5"/>
    <w:rsid w:val="477C2E68"/>
    <w:rsid w:val="47888F3B"/>
    <w:rsid w:val="478EE005"/>
    <w:rsid w:val="47F13D2C"/>
    <w:rsid w:val="4823C4E5"/>
    <w:rsid w:val="483A1F35"/>
    <w:rsid w:val="485C7C13"/>
    <w:rsid w:val="485D15F6"/>
    <w:rsid w:val="4867CDD8"/>
    <w:rsid w:val="48C25784"/>
    <w:rsid w:val="48D678A2"/>
    <w:rsid w:val="490EF842"/>
    <w:rsid w:val="49F4A8A9"/>
    <w:rsid w:val="4A19A81E"/>
    <w:rsid w:val="4A838759"/>
    <w:rsid w:val="4AAB983F"/>
    <w:rsid w:val="4AB67A22"/>
    <w:rsid w:val="4AD1A6CF"/>
    <w:rsid w:val="4AD5BC77"/>
    <w:rsid w:val="4B0CD719"/>
    <w:rsid w:val="4B331C52"/>
    <w:rsid w:val="4B39D508"/>
    <w:rsid w:val="4B697F8E"/>
    <w:rsid w:val="4B7CBE14"/>
    <w:rsid w:val="4B9DBF51"/>
    <w:rsid w:val="4B9F4290"/>
    <w:rsid w:val="4BF04F78"/>
    <w:rsid w:val="4BFBD16C"/>
    <w:rsid w:val="4BFE59CB"/>
    <w:rsid w:val="4C072628"/>
    <w:rsid w:val="4C56F487"/>
    <w:rsid w:val="4C59155E"/>
    <w:rsid w:val="4C7495F1"/>
    <w:rsid w:val="4CBBB306"/>
    <w:rsid w:val="4D1D378B"/>
    <w:rsid w:val="4D1D4C64"/>
    <w:rsid w:val="4D413FA0"/>
    <w:rsid w:val="4D4B385A"/>
    <w:rsid w:val="4D7D5563"/>
    <w:rsid w:val="4DADDD6D"/>
    <w:rsid w:val="4DDFD010"/>
    <w:rsid w:val="4DE7023F"/>
    <w:rsid w:val="4E77A865"/>
    <w:rsid w:val="4E8B99D9"/>
    <w:rsid w:val="4EAA2AF5"/>
    <w:rsid w:val="4EAA4139"/>
    <w:rsid w:val="4EC35AA8"/>
    <w:rsid w:val="4ED6DF53"/>
    <w:rsid w:val="4EFB6F6E"/>
    <w:rsid w:val="4F10B6F1"/>
    <w:rsid w:val="4F2C9470"/>
    <w:rsid w:val="4F3FD896"/>
    <w:rsid w:val="4F6E748E"/>
    <w:rsid w:val="4F954738"/>
    <w:rsid w:val="4FD14AAC"/>
    <w:rsid w:val="4FDEA2DE"/>
    <w:rsid w:val="4FF3687E"/>
    <w:rsid w:val="502A692F"/>
    <w:rsid w:val="505C656E"/>
    <w:rsid w:val="50AE8F83"/>
    <w:rsid w:val="50FCAEA0"/>
    <w:rsid w:val="5100A30F"/>
    <w:rsid w:val="5116DE3A"/>
    <w:rsid w:val="51209972"/>
    <w:rsid w:val="51263678"/>
    <w:rsid w:val="51368C94"/>
    <w:rsid w:val="5168E36D"/>
    <w:rsid w:val="517B8125"/>
    <w:rsid w:val="518251FA"/>
    <w:rsid w:val="519C47E8"/>
    <w:rsid w:val="51AC9872"/>
    <w:rsid w:val="51B8FE1D"/>
    <w:rsid w:val="51CDB62D"/>
    <w:rsid w:val="51F67078"/>
    <w:rsid w:val="5278DB2E"/>
    <w:rsid w:val="52AA81B8"/>
    <w:rsid w:val="52B45189"/>
    <w:rsid w:val="52BBF4C1"/>
    <w:rsid w:val="52FC8439"/>
    <w:rsid w:val="5311A8B1"/>
    <w:rsid w:val="5325652F"/>
    <w:rsid w:val="532EC1C0"/>
    <w:rsid w:val="5382D886"/>
    <w:rsid w:val="53914177"/>
    <w:rsid w:val="5392495B"/>
    <w:rsid w:val="53B0BC4E"/>
    <w:rsid w:val="540553FD"/>
    <w:rsid w:val="54375497"/>
    <w:rsid w:val="543A8118"/>
    <w:rsid w:val="546AB030"/>
    <w:rsid w:val="54B0C559"/>
    <w:rsid w:val="54B7B0E9"/>
    <w:rsid w:val="55641B58"/>
    <w:rsid w:val="557939DF"/>
    <w:rsid w:val="55B1DC13"/>
    <w:rsid w:val="55C2A4D7"/>
    <w:rsid w:val="56695484"/>
    <w:rsid w:val="56786FDF"/>
    <w:rsid w:val="5718F6BC"/>
    <w:rsid w:val="5725F4B6"/>
    <w:rsid w:val="57901450"/>
    <w:rsid w:val="57A83584"/>
    <w:rsid w:val="57BF6F40"/>
    <w:rsid w:val="583907E4"/>
    <w:rsid w:val="5846F068"/>
    <w:rsid w:val="58E22857"/>
    <w:rsid w:val="59197086"/>
    <w:rsid w:val="5926AFA3"/>
    <w:rsid w:val="595F7F94"/>
    <w:rsid w:val="598327FF"/>
    <w:rsid w:val="59BA28CE"/>
    <w:rsid w:val="5A1B7408"/>
    <w:rsid w:val="5A25EFFE"/>
    <w:rsid w:val="5A8FBC04"/>
    <w:rsid w:val="5AA25B51"/>
    <w:rsid w:val="5AF11BB5"/>
    <w:rsid w:val="5AF35B9D"/>
    <w:rsid w:val="5B1529CC"/>
    <w:rsid w:val="5BEF6137"/>
    <w:rsid w:val="5C5D97B4"/>
    <w:rsid w:val="5C68363A"/>
    <w:rsid w:val="5C710248"/>
    <w:rsid w:val="5C8E7FAD"/>
    <w:rsid w:val="5C9A43F6"/>
    <w:rsid w:val="5CBEDB05"/>
    <w:rsid w:val="5CE29845"/>
    <w:rsid w:val="5CFD8B87"/>
    <w:rsid w:val="5D3DE2B0"/>
    <w:rsid w:val="5D4F5220"/>
    <w:rsid w:val="5D7FFBD0"/>
    <w:rsid w:val="5D93CF22"/>
    <w:rsid w:val="5DAA24A6"/>
    <w:rsid w:val="5DC92188"/>
    <w:rsid w:val="5DEE9CD3"/>
    <w:rsid w:val="5E57B99B"/>
    <w:rsid w:val="5EA1DE66"/>
    <w:rsid w:val="5EC5B62C"/>
    <w:rsid w:val="5F0F4CED"/>
    <w:rsid w:val="5F1F85A8"/>
    <w:rsid w:val="5FBA3BAC"/>
    <w:rsid w:val="6004438B"/>
    <w:rsid w:val="600A382A"/>
    <w:rsid w:val="605929C8"/>
    <w:rsid w:val="6066B7DA"/>
    <w:rsid w:val="60B7F172"/>
    <w:rsid w:val="60BA9ACE"/>
    <w:rsid w:val="60D75BB4"/>
    <w:rsid w:val="60F13C35"/>
    <w:rsid w:val="610E7B69"/>
    <w:rsid w:val="610E9E37"/>
    <w:rsid w:val="612146EB"/>
    <w:rsid w:val="61270682"/>
    <w:rsid w:val="6183552F"/>
    <w:rsid w:val="61E3C9EA"/>
    <w:rsid w:val="61F68A96"/>
    <w:rsid w:val="6217AFB1"/>
    <w:rsid w:val="623AA77A"/>
    <w:rsid w:val="62A820AA"/>
    <w:rsid w:val="633DC20A"/>
    <w:rsid w:val="634F508E"/>
    <w:rsid w:val="636E87E4"/>
    <w:rsid w:val="63847804"/>
    <w:rsid w:val="6396C525"/>
    <w:rsid w:val="63E54AC1"/>
    <w:rsid w:val="63EED6D3"/>
    <w:rsid w:val="64C5AF9B"/>
    <w:rsid w:val="6578DC6B"/>
    <w:rsid w:val="657E7F4E"/>
    <w:rsid w:val="658A44AD"/>
    <w:rsid w:val="658E08A3"/>
    <w:rsid w:val="65AD13FE"/>
    <w:rsid w:val="65DBB6CC"/>
    <w:rsid w:val="65DED5C7"/>
    <w:rsid w:val="65E47F56"/>
    <w:rsid w:val="65ED8763"/>
    <w:rsid w:val="662833B0"/>
    <w:rsid w:val="6638D4AA"/>
    <w:rsid w:val="666287D8"/>
    <w:rsid w:val="66629608"/>
    <w:rsid w:val="6677A59B"/>
    <w:rsid w:val="6689F3AA"/>
    <w:rsid w:val="66C7534D"/>
    <w:rsid w:val="66CF4FCE"/>
    <w:rsid w:val="67415867"/>
    <w:rsid w:val="6796C339"/>
    <w:rsid w:val="67AB3E02"/>
    <w:rsid w:val="67ABFA1F"/>
    <w:rsid w:val="67D5C4F7"/>
    <w:rsid w:val="67EDA434"/>
    <w:rsid w:val="684092C5"/>
    <w:rsid w:val="68A12426"/>
    <w:rsid w:val="68F06FCA"/>
    <w:rsid w:val="69028BBA"/>
    <w:rsid w:val="69053C7D"/>
    <w:rsid w:val="6914BC21"/>
    <w:rsid w:val="696799F6"/>
    <w:rsid w:val="696FA744"/>
    <w:rsid w:val="69703AC9"/>
    <w:rsid w:val="6974BD6A"/>
    <w:rsid w:val="697F6C42"/>
    <w:rsid w:val="6983F677"/>
    <w:rsid w:val="69AF2C33"/>
    <w:rsid w:val="69C92F16"/>
    <w:rsid w:val="6A3B13AD"/>
    <w:rsid w:val="6A5E2AEF"/>
    <w:rsid w:val="6A62BDE6"/>
    <w:rsid w:val="6AE1D3C4"/>
    <w:rsid w:val="6AE50573"/>
    <w:rsid w:val="6AF374F2"/>
    <w:rsid w:val="6AF44484"/>
    <w:rsid w:val="6B115D67"/>
    <w:rsid w:val="6B412027"/>
    <w:rsid w:val="6B54A1C1"/>
    <w:rsid w:val="6B6C7F55"/>
    <w:rsid w:val="6BAB081B"/>
    <w:rsid w:val="6BDB6AF6"/>
    <w:rsid w:val="6BDFF735"/>
    <w:rsid w:val="6BE1F162"/>
    <w:rsid w:val="6BE95C33"/>
    <w:rsid w:val="6BFC7811"/>
    <w:rsid w:val="6C24588E"/>
    <w:rsid w:val="6C653C2E"/>
    <w:rsid w:val="6C74E36E"/>
    <w:rsid w:val="6CC03A1E"/>
    <w:rsid w:val="6CC53790"/>
    <w:rsid w:val="6CD07304"/>
    <w:rsid w:val="6CE2F671"/>
    <w:rsid w:val="6D52CE77"/>
    <w:rsid w:val="6D6BC890"/>
    <w:rsid w:val="6D90C85B"/>
    <w:rsid w:val="6DC24D7A"/>
    <w:rsid w:val="6DDDE57E"/>
    <w:rsid w:val="6DF46B8D"/>
    <w:rsid w:val="6E542730"/>
    <w:rsid w:val="6E757308"/>
    <w:rsid w:val="6E7D1F0F"/>
    <w:rsid w:val="6E91E14A"/>
    <w:rsid w:val="6F0C3686"/>
    <w:rsid w:val="6F99DDB8"/>
    <w:rsid w:val="6FCBD3AB"/>
    <w:rsid w:val="7022CEBF"/>
    <w:rsid w:val="7045E778"/>
    <w:rsid w:val="7052F841"/>
    <w:rsid w:val="70860CCA"/>
    <w:rsid w:val="70868849"/>
    <w:rsid w:val="70B8A0DF"/>
    <w:rsid w:val="70CFBF2B"/>
    <w:rsid w:val="70E38EB9"/>
    <w:rsid w:val="70EAD406"/>
    <w:rsid w:val="71080985"/>
    <w:rsid w:val="7146E609"/>
    <w:rsid w:val="71E0A0A6"/>
    <w:rsid w:val="71EBF7FF"/>
    <w:rsid w:val="7251813B"/>
    <w:rsid w:val="7263773C"/>
    <w:rsid w:val="7265F300"/>
    <w:rsid w:val="728BE46C"/>
    <w:rsid w:val="729A03FF"/>
    <w:rsid w:val="72AB0183"/>
    <w:rsid w:val="72DFC43C"/>
    <w:rsid w:val="733DB301"/>
    <w:rsid w:val="734C55CD"/>
    <w:rsid w:val="73713262"/>
    <w:rsid w:val="73ECDFD9"/>
    <w:rsid w:val="73EF5B9D"/>
    <w:rsid w:val="742DF3EC"/>
    <w:rsid w:val="74423D0E"/>
    <w:rsid w:val="74561C38"/>
    <w:rsid w:val="7461744E"/>
    <w:rsid w:val="7480E024"/>
    <w:rsid w:val="74966282"/>
    <w:rsid w:val="7504BEAD"/>
    <w:rsid w:val="75A69F7D"/>
    <w:rsid w:val="75C85354"/>
    <w:rsid w:val="75CE2EE7"/>
    <w:rsid w:val="75D81C3D"/>
    <w:rsid w:val="76789B5F"/>
    <w:rsid w:val="76A9CC47"/>
    <w:rsid w:val="7717A803"/>
    <w:rsid w:val="77204EFA"/>
    <w:rsid w:val="772D902B"/>
    <w:rsid w:val="77709E68"/>
    <w:rsid w:val="77C2EE11"/>
    <w:rsid w:val="77DCD7CE"/>
    <w:rsid w:val="78802550"/>
    <w:rsid w:val="7880363C"/>
    <w:rsid w:val="7887F6FD"/>
    <w:rsid w:val="78A3C68C"/>
    <w:rsid w:val="78F89691"/>
    <w:rsid w:val="7993E85B"/>
    <w:rsid w:val="79D696B9"/>
    <w:rsid w:val="7A35E3FA"/>
    <w:rsid w:val="7A937A78"/>
    <w:rsid w:val="7AAE6364"/>
    <w:rsid w:val="7ABA4ED8"/>
    <w:rsid w:val="7B9550C7"/>
    <w:rsid w:val="7BAA7DFF"/>
    <w:rsid w:val="7BC9A5E5"/>
    <w:rsid w:val="7BDE5BC1"/>
    <w:rsid w:val="7BE03743"/>
    <w:rsid w:val="7C0C94CD"/>
    <w:rsid w:val="7C3629E4"/>
    <w:rsid w:val="7C62C13B"/>
    <w:rsid w:val="7C84A2C7"/>
    <w:rsid w:val="7C9BC06B"/>
    <w:rsid w:val="7CA17503"/>
    <w:rsid w:val="7CC9D380"/>
    <w:rsid w:val="7CE567DE"/>
    <w:rsid w:val="7D15D6E9"/>
    <w:rsid w:val="7D352425"/>
    <w:rsid w:val="7D804A0E"/>
    <w:rsid w:val="7D8320DD"/>
    <w:rsid w:val="7D9DD0AA"/>
    <w:rsid w:val="7DA8F764"/>
    <w:rsid w:val="7DE336EE"/>
    <w:rsid w:val="7E230E5B"/>
    <w:rsid w:val="7E35B875"/>
    <w:rsid w:val="7E3D49D2"/>
    <w:rsid w:val="7E4EA8FA"/>
    <w:rsid w:val="7EBDAADE"/>
    <w:rsid w:val="7EDB6F09"/>
    <w:rsid w:val="7EDF24BA"/>
    <w:rsid w:val="7EEA1783"/>
    <w:rsid w:val="7F2BEC0C"/>
    <w:rsid w:val="7F2E512F"/>
    <w:rsid w:val="7F5E5E41"/>
    <w:rsid w:val="7F643512"/>
    <w:rsid w:val="7F816B67"/>
    <w:rsid w:val="7FA57AF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BAD08"/>
  <w15:docId w15:val="{42A54FDD-7458-461F-A9C4-773F78CC7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6AA"/>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uiPriority w:val="9"/>
    <w:qFormat/>
    <w:rsid w:val="00BD6E5A"/>
    <w:pPr>
      <w:spacing w:before="480"/>
      <w:outlineLvl w:val="0"/>
    </w:pPr>
    <w:rPr>
      <w:bCs w:val="0"/>
      <w:color w:val="003379"/>
    </w:rPr>
  </w:style>
  <w:style w:type="paragraph" w:styleId="Heading2">
    <w:name w:val="heading 2"/>
    <w:basedOn w:val="HeadingBase"/>
    <w:next w:val="Normal"/>
    <w:link w:val="Heading2Char"/>
    <w:qFormat/>
    <w:rsid w:val="00BD6E5A"/>
    <w:pPr>
      <w:spacing w:before="360"/>
      <w:outlineLvl w:val="1"/>
    </w:pPr>
    <w:rPr>
      <w:bCs w:val="0"/>
      <w:iCs/>
      <w:color w:val="003379"/>
      <w:sz w:val="36"/>
      <w:szCs w:val="28"/>
    </w:rPr>
  </w:style>
  <w:style w:type="paragraph" w:styleId="Heading3">
    <w:name w:val="heading 3"/>
    <w:basedOn w:val="HeadingBase"/>
    <w:next w:val="Normal"/>
    <w:link w:val="Heading3Char"/>
    <w:uiPriority w:val="9"/>
    <w:qFormat/>
    <w:rsid w:val="004A1E4F"/>
    <w:pPr>
      <w:spacing w:before="240"/>
      <w:outlineLvl w:val="2"/>
    </w:pPr>
    <w:rPr>
      <w:bCs w:val="0"/>
      <w:color w:val="127F6A"/>
      <w:sz w:val="28"/>
      <w:szCs w:val="26"/>
    </w:rPr>
  </w:style>
  <w:style w:type="paragraph" w:styleId="Heading4">
    <w:name w:val="heading 4"/>
    <w:basedOn w:val="HeadingBase"/>
    <w:next w:val="Normal"/>
    <w:link w:val="Heading4Char"/>
    <w:uiPriority w:val="9"/>
    <w:qFormat/>
    <w:rsid w:val="0001492E"/>
    <w:pPr>
      <w:spacing w:before="120"/>
      <w:outlineLvl w:val="3"/>
    </w:pPr>
    <w:rPr>
      <w:bCs w:val="0"/>
      <w:color w:val="005994"/>
      <w:sz w:val="26"/>
      <w:szCs w:val="26"/>
    </w:rPr>
  </w:style>
  <w:style w:type="paragraph" w:styleId="Heading5">
    <w:name w:val="heading 5"/>
    <w:basedOn w:val="HeadingBase"/>
    <w:next w:val="Normal"/>
    <w:link w:val="Heading5Char"/>
    <w:uiPriority w:val="9"/>
    <w:qFormat/>
    <w:rsid w:val="001972D2"/>
    <w:pPr>
      <w:outlineLvl w:val="4"/>
    </w:pPr>
    <w:rPr>
      <w:b/>
      <w:bCs w:val="0"/>
      <w:iCs/>
      <w:sz w:val="22"/>
    </w:rPr>
  </w:style>
  <w:style w:type="paragraph" w:styleId="Heading6">
    <w:name w:val="heading 6"/>
    <w:basedOn w:val="HeadingBase"/>
    <w:next w:val="Normal"/>
    <w:link w:val="Heading6Char"/>
    <w:qFormat/>
    <w:rsid w:val="001972D2"/>
    <w:pPr>
      <w:outlineLvl w:val="5"/>
    </w:pPr>
    <w:rPr>
      <w:bCs w:val="0"/>
      <w:sz w:val="22"/>
      <w:szCs w:val="22"/>
    </w:rPr>
  </w:style>
  <w:style w:type="paragraph" w:styleId="Heading7">
    <w:name w:val="heading 7"/>
    <w:basedOn w:val="Normal"/>
    <w:next w:val="Normal"/>
    <w:link w:val="Heading7Char"/>
    <w:uiPriority w:val="9"/>
    <w:semiHidden/>
    <w:unhideWhenUsed/>
    <w:qFormat/>
    <w:rsid w:val="00464D63"/>
    <w:pPr>
      <w:keepNext/>
      <w:keepLines/>
      <w:spacing w:before="40" w:after="0"/>
      <w:outlineLvl w:val="6"/>
    </w:pPr>
    <w:rPr>
      <w:rFonts w:asciiTheme="majorHAnsi" w:eastAsiaTheme="majorEastAsia" w:hAnsiTheme="majorHAnsi" w:cstheme="majorBidi"/>
      <w:i/>
      <w:iCs/>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E5A"/>
    <w:rPr>
      <w:rFonts w:ascii="Calibri" w:eastAsia="Times New Roman" w:hAnsi="Calibri" w:cs="Arial"/>
      <w:color w:val="003379"/>
      <w:kern w:val="32"/>
      <w:sz w:val="48"/>
      <w:szCs w:val="36"/>
      <w:lang w:eastAsia="en-AU"/>
    </w:rPr>
  </w:style>
  <w:style w:type="character" w:customStyle="1" w:styleId="Heading2Char">
    <w:name w:val="Heading 2 Char"/>
    <w:basedOn w:val="DefaultParagraphFont"/>
    <w:link w:val="Heading2"/>
    <w:rsid w:val="00BD6E5A"/>
    <w:rPr>
      <w:rFonts w:ascii="Calibri" w:eastAsia="Times New Roman" w:hAnsi="Calibri" w:cs="Arial"/>
      <w:iCs/>
      <w:color w:val="003379"/>
      <w:kern w:val="32"/>
      <w:sz w:val="36"/>
      <w:szCs w:val="28"/>
      <w:lang w:eastAsia="en-AU"/>
    </w:rPr>
  </w:style>
  <w:style w:type="character" w:customStyle="1" w:styleId="Heading3Char">
    <w:name w:val="Heading 3 Char"/>
    <w:basedOn w:val="DefaultParagraphFont"/>
    <w:link w:val="Heading3"/>
    <w:uiPriority w:val="9"/>
    <w:rsid w:val="004A1E4F"/>
    <w:rPr>
      <w:rFonts w:ascii="Calibri" w:eastAsia="Times New Roman" w:hAnsi="Calibri" w:cs="Arial"/>
      <w:color w:val="127F6A"/>
      <w:kern w:val="32"/>
      <w:sz w:val="28"/>
      <w:szCs w:val="26"/>
      <w:lang w:eastAsia="en-AU"/>
    </w:rPr>
  </w:style>
  <w:style w:type="character" w:customStyle="1" w:styleId="Heading4Char">
    <w:name w:val="Heading 4 Char"/>
    <w:basedOn w:val="DefaultParagraphFont"/>
    <w:link w:val="Heading4"/>
    <w:uiPriority w:val="9"/>
    <w:rsid w:val="0001492E"/>
    <w:rPr>
      <w:rFonts w:ascii="Calibri" w:eastAsia="Times New Roman" w:hAnsi="Calibri" w:cs="Arial"/>
      <w:color w:val="005994"/>
      <w:kern w:val="32"/>
      <w:sz w:val="26"/>
      <w:szCs w:val="26"/>
      <w:lang w:eastAsia="en-AU"/>
    </w:rPr>
  </w:style>
  <w:style w:type="character" w:customStyle="1" w:styleId="Heading5Char">
    <w:name w:val="Heading 5 Char"/>
    <w:basedOn w:val="DefaultParagraphFont"/>
    <w:link w:val="Heading5"/>
    <w:uiPriority w:val="9"/>
    <w:rsid w:val="001972D2"/>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1972D2"/>
    <w:rPr>
      <w:rFonts w:ascii="Calibri" w:eastAsia="Times New Roman" w:hAnsi="Calibri" w:cs="Arial"/>
      <w:color w:val="004A7F"/>
      <w:kern w:val="32"/>
      <w:lang w:eastAsia="en-AU"/>
    </w:rPr>
  </w:style>
  <w:style w:type="paragraph" w:customStyle="1" w:styleId="ChartGraphic">
    <w:name w:val="Chart Graphic"/>
    <w:basedOn w:val="Normal"/>
    <w:next w:val="Normal"/>
    <w:uiPriority w:val="99"/>
    <w:rsid w:val="0079136A"/>
    <w:pPr>
      <w:keepNext/>
      <w:spacing w:before="0" w:after="0"/>
      <w:ind w:left="567"/>
    </w:pPr>
    <w:rPr>
      <w:color w:val="004A7F"/>
      <w:sz w:val="20"/>
    </w:rPr>
  </w:style>
  <w:style w:type="paragraph" w:customStyle="1" w:styleId="AlphaParagraph">
    <w:name w:val="Alpha Paragraph"/>
    <w:basedOn w:val="Normal"/>
    <w:qFormat/>
    <w:rsid w:val="000E0B74"/>
    <w:pPr>
      <w:numPr>
        <w:ilvl w:val="1"/>
        <w:numId w:val="18"/>
      </w:numPr>
      <w:spacing w:before="0"/>
    </w:pPr>
  </w:style>
  <w:style w:type="paragraph" w:customStyle="1" w:styleId="BoxBullet">
    <w:name w:val="Box Bullet"/>
    <w:basedOn w:val="Normal"/>
    <w:rsid w:val="000E0B74"/>
    <w:pPr>
      <w:numPr>
        <w:numId w:val="5"/>
      </w:numPr>
      <w:spacing w:before="0"/>
    </w:pPr>
  </w:style>
  <w:style w:type="paragraph" w:customStyle="1" w:styleId="BoxDash">
    <w:name w:val="Box Dash"/>
    <w:basedOn w:val="Normal"/>
    <w:rsid w:val="000E0B74"/>
    <w:pPr>
      <w:numPr>
        <w:ilvl w:val="1"/>
        <w:numId w:val="5"/>
      </w:numPr>
      <w:spacing w:before="0"/>
    </w:pPr>
  </w:style>
  <w:style w:type="paragraph" w:customStyle="1" w:styleId="BoxDoubleDot">
    <w:name w:val="Box Double Dot"/>
    <w:basedOn w:val="Normal"/>
    <w:rsid w:val="000E0B74"/>
    <w:pPr>
      <w:numPr>
        <w:ilvl w:val="2"/>
        <w:numId w:val="5"/>
      </w:numPr>
      <w:spacing w:before="0"/>
    </w:pPr>
  </w:style>
  <w:style w:type="paragraph" w:customStyle="1" w:styleId="BoxHeading">
    <w:name w:val="Box Heading"/>
    <w:basedOn w:val="Normal"/>
    <w:next w:val="Normal"/>
    <w:rsid w:val="001B78E4"/>
    <w:pPr>
      <w:keepNext/>
      <w:spacing w:after="60"/>
      <w:jc w:val="both"/>
    </w:pPr>
    <w:rPr>
      <w:b/>
      <w:color w:val="002C47" w:themeColor="accent1"/>
      <w:sz w:val="24"/>
      <w:szCs w:val="26"/>
    </w:rPr>
  </w:style>
  <w:style w:type="paragraph" w:customStyle="1" w:styleId="BoxText">
    <w:name w:val="Box Text"/>
    <w:basedOn w:val="Normal"/>
    <w:rsid w:val="000E0B74"/>
  </w:style>
  <w:style w:type="paragraph" w:customStyle="1" w:styleId="Bullet">
    <w:name w:val="Bullet"/>
    <w:basedOn w:val="Normal"/>
    <w:link w:val="BulletChar"/>
    <w:rsid w:val="005115AE"/>
    <w:pPr>
      <w:numPr>
        <w:numId w:val="34"/>
      </w:numPr>
      <w:spacing w:before="0"/>
    </w:pPr>
  </w:style>
  <w:style w:type="paragraph" w:customStyle="1" w:styleId="ChartandTableFootnoteAlpha">
    <w:name w:val="Chart and Table Footnote Alpha"/>
    <w:rsid w:val="0023305C"/>
    <w:pPr>
      <w:tabs>
        <w:tab w:val="num" w:pos="284"/>
        <w:tab w:val="num" w:pos="720"/>
      </w:tabs>
      <w:spacing w:after="0" w:line="240" w:lineRule="auto"/>
      <w:ind w:left="720" w:hanging="720"/>
      <w:jc w:val="both"/>
    </w:pPr>
    <w:rPr>
      <w:rFonts w:ascii="Calibri" w:eastAsia="Times New Roman" w:hAnsi="Calibri" w:cs="Times New Roman"/>
      <w:color w:val="000000"/>
      <w:sz w:val="18"/>
      <w:szCs w:val="16"/>
      <w:lang w:eastAsia="en-AU"/>
    </w:rPr>
  </w:style>
  <w:style w:type="paragraph" w:customStyle="1" w:styleId="FigureMainHeading">
    <w:name w:val="Figure Main Heading"/>
    <w:basedOn w:val="TableMainHeading"/>
    <w:next w:val="ChartGraphic"/>
    <w:rsid w:val="00F25DD1"/>
    <w:pPr>
      <w:keepNext/>
      <w:ind w:left="567"/>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564D3"/>
    <w:pPr>
      <w:tabs>
        <w:tab w:val="clear" w:pos="1560"/>
      </w:tabs>
      <w:ind w:left="0" w:firstLine="0"/>
      <w:jc w:val="center"/>
    </w:pPr>
  </w:style>
  <w:style w:type="paragraph" w:customStyle="1" w:styleId="ReportDate">
    <w:name w:val="Report Date"/>
    <w:basedOn w:val="Normal"/>
    <w:link w:val="ReportDateChar"/>
    <w:rsid w:val="006564D3"/>
    <w:pPr>
      <w:keepNext/>
      <w:spacing w:before="0" w:after="360"/>
    </w:pPr>
    <w:rPr>
      <w:color w:val="00818F" w:themeColor="accent5"/>
      <w:sz w:val="44"/>
    </w:rPr>
  </w:style>
  <w:style w:type="paragraph" w:customStyle="1" w:styleId="Dash">
    <w:name w:val="Dash"/>
    <w:basedOn w:val="Normal"/>
    <w:link w:val="DashChar"/>
    <w:rsid w:val="00056ADA"/>
    <w:pPr>
      <w:numPr>
        <w:ilvl w:val="1"/>
        <w:numId w:val="34"/>
      </w:numPr>
      <w:tabs>
        <w:tab w:val="left" w:pos="709"/>
      </w:tabs>
      <w:spacing w:before="0"/>
    </w:pPr>
  </w:style>
  <w:style w:type="paragraph" w:customStyle="1" w:styleId="DoubleDot">
    <w:name w:val="Double Dot"/>
    <w:basedOn w:val="Normal"/>
    <w:link w:val="DoubleDotChar"/>
    <w:rsid w:val="000E0B74"/>
    <w:pPr>
      <w:numPr>
        <w:ilvl w:val="2"/>
        <w:numId w:val="34"/>
      </w:numPr>
      <w:spacing w:before="0"/>
    </w:pPr>
  </w:style>
  <w:style w:type="paragraph" w:customStyle="1" w:styleId="TableMainHeading">
    <w:name w:val="Table Main Heading"/>
    <w:basedOn w:val="Normal"/>
    <w:next w:val="Normal"/>
    <w:rsid w:val="001655A9"/>
    <w:pPr>
      <w:spacing w:after="0"/>
      <w:jc w:val="both"/>
    </w:pPr>
    <w:rPr>
      <w:rFonts w:cs="Arial"/>
      <w:b/>
      <w:color w:val="005994"/>
      <w:kern w:val="32"/>
      <w:szCs w:val="22"/>
    </w:rPr>
  </w:style>
  <w:style w:type="paragraph" w:customStyle="1" w:styleId="FooterEven">
    <w:name w:val="Footer Even"/>
    <w:basedOn w:val="Footer"/>
    <w:uiPriority w:val="99"/>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rsid w:val="00BF56E8"/>
    <w:rPr>
      <w:color w:val="auto"/>
      <w:u w:val="none"/>
    </w:rPr>
  </w:style>
  <w:style w:type="paragraph" w:customStyle="1" w:styleId="OutlineNumbered1">
    <w:name w:val="Outline Numbered 1"/>
    <w:basedOn w:val="Normal"/>
    <w:link w:val="OutlineNumbered1Char"/>
    <w:rsid w:val="000E0B74"/>
    <w:pPr>
      <w:numPr>
        <w:numId w:val="2"/>
      </w:numPr>
      <w:spacing w:before="0"/>
    </w:pPr>
  </w:style>
  <w:style w:type="paragraph" w:customStyle="1" w:styleId="OneLevelNumberedParagraph">
    <w:name w:val="One Level Numbered Paragraph"/>
    <w:basedOn w:val="Normal"/>
    <w:rsid w:val="000E0B74"/>
    <w:pPr>
      <w:numPr>
        <w:numId w:val="16"/>
      </w:numPr>
      <w:spacing w:before="0"/>
    </w:pPr>
  </w:style>
  <w:style w:type="paragraph" w:customStyle="1" w:styleId="OutlineNumbered2">
    <w:name w:val="Outline Numbered 2"/>
    <w:basedOn w:val="Normal"/>
    <w:link w:val="OutlineNumbered2Char"/>
    <w:rsid w:val="000E0B74"/>
    <w:pPr>
      <w:numPr>
        <w:ilvl w:val="1"/>
        <w:numId w:val="2"/>
      </w:numPr>
      <w:tabs>
        <w:tab w:val="num" w:pos="1134"/>
      </w:tabs>
      <w:spacing w:before="0"/>
    </w:pPr>
  </w:style>
  <w:style w:type="paragraph" w:customStyle="1" w:styleId="OutlineNumbered3">
    <w:name w:val="Outline Numbered 3"/>
    <w:basedOn w:val="Normal"/>
    <w:link w:val="OutlineNumbered3Char"/>
    <w:rsid w:val="000E0B74"/>
    <w:pPr>
      <w:numPr>
        <w:ilvl w:val="2"/>
        <w:numId w:val="2"/>
      </w:numPr>
      <w:spacing w:before="0"/>
    </w:pPr>
  </w:style>
  <w:style w:type="paragraph" w:customStyle="1" w:styleId="Romannumeral">
    <w:name w:val="Roman numeral"/>
    <w:basedOn w:val="Normal"/>
    <w:rsid w:val="004F4B92"/>
    <w:pPr>
      <w:numPr>
        <w:numId w:val="18"/>
      </w:numPr>
      <w:tabs>
        <w:tab w:val="num" w:pos="851"/>
      </w:tabs>
      <w:spacing w:before="0"/>
    </w:pPr>
  </w:style>
  <w:style w:type="paragraph" w:customStyle="1" w:styleId="SingleParagraph">
    <w:name w:val="Single Paragraph"/>
    <w:basedOn w:val="Normal"/>
    <w:link w:val="SingleParagraphChar"/>
    <w:rsid w:val="000E0B74"/>
    <w:pPr>
      <w:numPr>
        <w:ilvl w:val="1"/>
        <w:numId w:val="4"/>
      </w:numPr>
      <w:spacing w:before="0" w:after="0"/>
    </w:pPr>
  </w:style>
  <w:style w:type="paragraph" w:customStyle="1" w:styleId="TableSecondHeading">
    <w:name w:val="Table Second Heading"/>
    <w:basedOn w:val="Normal"/>
    <w:next w:val="Normal"/>
    <w:rsid w:val="00464D63"/>
    <w:pPr>
      <w:keepNext/>
      <w:tabs>
        <w:tab w:val="num" w:pos="1560"/>
      </w:tabs>
      <w:spacing w:before="0" w:after="20"/>
      <w:ind w:left="1560" w:hanging="520"/>
    </w:pPr>
    <w:rPr>
      <w:b/>
      <w:color w:val="3A6FAF" w:themeColor="accent2"/>
    </w:rPr>
  </w:style>
  <w:style w:type="paragraph" w:customStyle="1" w:styleId="TableColumnHeadingCentred">
    <w:name w:val="Table Column Heading Centred"/>
    <w:basedOn w:val="TableTextLeft"/>
    <w:rsid w:val="006564D3"/>
    <w:pPr>
      <w:numPr>
        <w:ilvl w:val="2"/>
        <w:numId w:val="4"/>
      </w:numPr>
      <w:jc w:val="center"/>
    </w:pPr>
    <w:rPr>
      <w:b/>
      <w:color w:val="002C47" w:themeColor="accent1"/>
      <w:sz w:val="20"/>
    </w:rPr>
  </w:style>
  <w:style w:type="paragraph" w:customStyle="1" w:styleId="TableColumnHeadingLeft">
    <w:name w:val="Table Column Heading Left"/>
    <w:basedOn w:val="TableTextLeft"/>
    <w:rsid w:val="006564D3"/>
    <w:rPr>
      <w:b/>
      <w:color w:val="002C47" w:themeColor="accent1"/>
      <w:sz w:val="20"/>
    </w:rPr>
  </w:style>
  <w:style w:type="paragraph" w:customStyle="1" w:styleId="TableColumnHeadingRight">
    <w:name w:val="Table Column Heading Right"/>
    <w:basedOn w:val="TableTextLeft"/>
    <w:rsid w:val="006564D3"/>
    <w:pPr>
      <w:jc w:val="right"/>
    </w:pPr>
    <w:rPr>
      <w:b/>
      <w:color w:val="002C47" w:themeColor="accent1"/>
      <w:sz w:val="20"/>
    </w:rPr>
  </w:style>
  <w:style w:type="table" w:styleId="TableGrid">
    <w:name w:val="Table Grid"/>
    <w:basedOn w:val="TableNormal"/>
    <w:uiPriority w:val="39"/>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4D3"/>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951229"/>
    <w:pPr>
      <w:tabs>
        <w:tab w:val="right" w:leader="dot" w:pos="9072"/>
      </w:tabs>
      <w:spacing w:before="40" w:after="20"/>
    </w:pPr>
    <w:rPr>
      <w:noProof/>
      <w:color w:val="002C47" w:themeColor="accent1"/>
    </w:rPr>
  </w:style>
  <w:style w:type="paragraph" w:styleId="TOC3">
    <w:name w:val="toc 3"/>
    <w:basedOn w:val="Normal"/>
    <w:next w:val="Normal"/>
    <w:uiPriority w:val="39"/>
    <w:qFormat/>
    <w:rsid w:val="006564D3"/>
    <w:pPr>
      <w:tabs>
        <w:tab w:val="right" w:leader="dot" w:pos="9072"/>
      </w:tabs>
      <w:spacing w:before="20" w:after="0"/>
      <w:ind w:left="284" w:right="-2"/>
    </w:pPr>
    <w:rPr>
      <w:rFonts w:cs="Calibri"/>
      <w:noProof/>
      <w:color w:val="3A6FAF" w:themeColor="accent2"/>
    </w:rPr>
  </w:style>
  <w:style w:type="numbering" w:customStyle="1" w:styleId="BulletedList">
    <w:name w:val="Bulleted List"/>
    <w:uiPriority w:val="99"/>
    <w:rsid w:val="004E5BCC"/>
    <w:pPr>
      <w:numPr>
        <w:numId w:val="6"/>
      </w:numPr>
    </w:pPr>
  </w:style>
  <w:style w:type="numbering" w:customStyle="1" w:styleId="ChartandTableFootnoteAlphaList">
    <w:name w:val="ChartandTableFootnoteAlphaList"/>
    <w:uiPriority w:val="99"/>
    <w:rsid w:val="000E0B74"/>
    <w:pPr>
      <w:numPr>
        <w:numId w:val="8"/>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pPr>
  </w:style>
  <w:style w:type="paragraph" w:customStyle="1" w:styleId="Heading3Numbered">
    <w:name w:val="Heading 3 Numbered"/>
    <w:basedOn w:val="Heading3"/>
    <w:qFormat/>
    <w:rsid w:val="000E0B74"/>
    <w:pPr>
      <w:numPr>
        <w:ilvl w:val="2"/>
        <w:numId w:val="8"/>
      </w:numPr>
    </w:pPr>
  </w:style>
  <w:style w:type="paragraph" w:styleId="Title">
    <w:name w:val="Title"/>
    <w:basedOn w:val="Normal"/>
    <w:next w:val="Normal"/>
    <w:link w:val="TitleChar"/>
    <w:uiPriority w:val="10"/>
    <w:qFormat/>
    <w:rsid w:val="006564D3"/>
    <w:pPr>
      <w:spacing w:before="0" w:after="300"/>
      <w:contextualSpacing/>
    </w:pPr>
    <w:rPr>
      <w:rFonts w:eastAsiaTheme="majorEastAsia" w:cstheme="majorBidi"/>
      <w:b/>
      <w:color w:val="002C47" w:themeColor="accent1"/>
      <w:spacing w:val="5"/>
      <w:kern w:val="28"/>
      <w:sz w:val="72"/>
      <w:szCs w:val="52"/>
    </w:rPr>
  </w:style>
  <w:style w:type="character" w:customStyle="1" w:styleId="TitleChar">
    <w:name w:val="Title Char"/>
    <w:basedOn w:val="DefaultParagraphFont"/>
    <w:link w:val="Title"/>
    <w:uiPriority w:val="10"/>
    <w:rsid w:val="006564D3"/>
    <w:rPr>
      <w:rFonts w:ascii="Calibri" w:eastAsiaTheme="majorEastAsia" w:hAnsi="Calibri" w:cstheme="majorBidi"/>
      <w:b/>
      <w:color w:val="002C47" w:themeColor="accent1"/>
      <w:spacing w:val="5"/>
      <w:kern w:val="28"/>
      <w:sz w:val="72"/>
      <w:szCs w:val="52"/>
      <w:lang w:eastAsia="en-AU"/>
    </w:rPr>
  </w:style>
  <w:style w:type="paragraph" w:styleId="Subtitle">
    <w:name w:val="Subtitle"/>
    <w:basedOn w:val="Normal"/>
    <w:next w:val="Normal"/>
    <w:link w:val="SubtitleChar"/>
    <w:uiPriority w:val="11"/>
    <w:qFormat/>
    <w:rsid w:val="006923DF"/>
    <w:pPr>
      <w:numPr>
        <w:ilvl w:val="1"/>
      </w:numPr>
    </w:pPr>
    <w:rPr>
      <w:rFonts w:eastAsiaTheme="majorEastAsia" w:cstheme="majorBidi"/>
      <w:iCs/>
      <w:color w:val="002C4A"/>
      <w:sz w:val="44"/>
      <w:szCs w:val="44"/>
    </w:rPr>
  </w:style>
  <w:style w:type="character" w:customStyle="1" w:styleId="SubtitleChar">
    <w:name w:val="Subtitle Char"/>
    <w:basedOn w:val="DefaultParagraphFont"/>
    <w:link w:val="Subtitle"/>
    <w:uiPriority w:val="11"/>
    <w:rsid w:val="006923DF"/>
    <w:rPr>
      <w:rFonts w:ascii="Calibri" w:eastAsiaTheme="majorEastAsia" w:hAnsi="Calibri" w:cstheme="majorBidi"/>
      <w:iCs/>
      <w:color w:val="002C4A"/>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iPriority w:val="99"/>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99"/>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6564D3"/>
    <w:rPr>
      <w:rFonts w:ascii="Calibri" w:eastAsia="Times New Roman" w:hAnsi="Calibri" w:cs="Times New Roman"/>
      <w:color w:val="00818F" w:themeColor="accent5"/>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character" w:customStyle="1" w:styleId="Heading7Char">
    <w:name w:val="Heading 7 Char"/>
    <w:basedOn w:val="DefaultParagraphFont"/>
    <w:link w:val="Heading7"/>
    <w:uiPriority w:val="9"/>
    <w:semiHidden/>
    <w:rsid w:val="00464D63"/>
    <w:rPr>
      <w:rFonts w:asciiTheme="majorHAnsi" w:eastAsiaTheme="majorEastAsia" w:hAnsiTheme="majorHAnsi" w:cstheme="majorBidi"/>
      <w:i/>
      <w:iCs/>
      <w:color w:val="001523"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8E6292"/>
    <w:pPr>
      <w:spacing w:after="0"/>
    </w:pPr>
  </w:style>
  <w:style w:type="paragraph" w:customStyle="1" w:styleId="HeaderEven">
    <w:name w:val="Header Even"/>
    <w:basedOn w:val="Header"/>
    <w:uiPriority w:val="99"/>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D01BD7"/>
    <w:pPr>
      <w:tabs>
        <w:tab w:val="left" w:pos="454"/>
      </w:tabs>
      <w:spacing w:before="0" w:after="0"/>
      <w:ind w:left="454" w:hanging="454"/>
    </w:pPr>
    <w:rPr>
      <w:sz w:val="20"/>
    </w:rPr>
  </w:style>
  <w:style w:type="character" w:customStyle="1" w:styleId="FootnoteTextChar">
    <w:name w:val="Footnote Text Char"/>
    <w:basedOn w:val="DefaultParagraphFont"/>
    <w:link w:val="FootnoteText"/>
    <w:uiPriority w:val="99"/>
    <w:rsid w:val="00D01BD7"/>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paragraph" w:styleId="ListParagraph">
    <w:name w:val="List Paragraph"/>
    <w:aliases w:val="Para Nbr 1,Noise heading,List Paragraph1,Footnote Sam,Cell bullets,RUS List,Issue Action POC,3,POCG Table Text,Dot pt,F5 List Paragraph,List Paragraph Char Char Char,Indicator Text,Colorful List - Accent 11,Numbered Para 1,Bullet 1,lp1,L"/>
    <w:basedOn w:val="Normal"/>
    <w:link w:val="ListParagraphChar"/>
    <w:uiPriority w:val="34"/>
    <w:qFormat/>
    <w:rsid w:val="009E2DFC"/>
    <w:pPr>
      <w:ind w:left="720"/>
      <w:contextualSpacing/>
    </w:pPr>
  </w:style>
  <w:style w:type="paragraph" w:styleId="NormalWeb">
    <w:name w:val="Normal (Web)"/>
    <w:basedOn w:val="Normal"/>
    <w:uiPriority w:val="99"/>
    <w:unhideWhenUsed/>
    <w:rsid w:val="0074078A"/>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unhideWhenUsed/>
    <w:rsid w:val="00810CFE"/>
    <w:rPr>
      <w:color w:val="605E5C"/>
      <w:shd w:val="clear" w:color="auto" w:fill="E1DFDD"/>
    </w:rPr>
  </w:style>
  <w:style w:type="character" w:customStyle="1" w:styleId="BulletChar">
    <w:name w:val="Bullet Char"/>
    <w:basedOn w:val="DefaultParagraphFont"/>
    <w:link w:val="Bullet"/>
    <w:rsid w:val="005115AE"/>
    <w:rPr>
      <w:rFonts w:ascii="Calibri" w:eastAsia="Times New Roman" w:hAnsi="Calibri" w:cs="Times New Roman"/>
      <w:szCs w:val="20"/>
      <w:lang w:eastAsia="en-AU"/>
    </w:rPr>
  </w:style>
  <w:style w:type="paragraph" w:styleId="TableofFigures">
    <w:name w:val="table of figures"/>
    <w:basedOn w:val="Normal"/>
    <w:next w:val="Normal"/>
    <w:uiPriority w:val="99"/>
    <w:semiHidden/>
    <w:unhideWhenUsed/>
    <w:rsid w:val="001C0EB6"/>
    <w:pPr>
      <w:spacing w:after="0"/>
    </w:pPr>
  </w:style>
  <w:style w:type="character" w:styleId="CommentReference">
    <w:name w:val="annotation reference"/>
    <w:basedOn w:val="DefaultParagraphFont"/>
    <w:uiPriority w:val="99"/>
    <w:unhideWhenUsed/>
    <w:rsid w:val="001C0EB6"/>
    <w:rPr>
      <w:sz w:val="16"/>
      <w:szCs w:val="16"/>
    </w:rPr>
  </w:style>
  <w:style w:type="paragraph" w:styleId="CommentText">
    <w:name w:val="annotation text"/>
    <w:basedOn w:val="Normal"/>
    <w:link w:val="CommentTextChar"/>
    <w:uiPriority w:val="99"/>
    <w:unhideWhenUsed/>
    <w:rsid w:val="001C0EB6"/>
    <w:rPr>
      <w:sz w:val="20"/>
    </w:rPr>
  </w:style>
  <w:style w:type="character" w:customStyle="1" w:styleId="CommentTextChar">
    <w:name w:val="Comment Text Char"/>
    <w:basedOn w:val="DefaultParagraphFont"/>
    <w:link w:val="CommentText"/>
    <w:uiPriority w:val="99"/>
    <w:rsid w:val="001C0EB6"/>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1C0EB6"/>
    <w:rPr>
      <w:b/>
      <w:bCs/>
    </w:rPr>
  </w:style>
  <w:style w:type="character" w:customStyle="1" w:styleId="CommentSubjectChar">
    <w:name w:val="Comment Subject Char"/>
    <w:basedOn w:val="CommentTextChar"/>
    <w:link w:val="CommentSubject"/>
    <w:uiPriority w:val="99"/>
    <w:semiHidden/>
    <w:rsid w:val="001C0EB6"/>
    <w:rPr>
      <w:rFonts w:ascii="Calibri" w:eastAsia="Times New Roman" w:hAnsi="Calibri" w:cs="Times New Roman"/>
      <w:b/>
      <w:bCs/>
      <w:sz w:val="20"/>
      <w:szCs w:val="20"/>
      <w:lang w:eastAsia="en-AU"/>
    </w:rPr>
  </w:style>
  <w:style w:type="character" w:styleId="FollowedHyperlink">
    <w:name w:val="FollowedHyperlink"/>
    <w:basedOn w:val="DefaultParagraphFont"/>
    <w:uiPriority w:val="99"/>
    <w:semiHidden/>
    <w:unhideWhenUsed/>
    <w:rsid w:val="00AD45BC"/>
    <w:rPr>
      <w:color w:val="E61E26" w:themeColor="followedHyperlink"/>
      <w:u w:val="single"/>
    </w:rPr>
  </w:style>
  <w:style w:type="paragraph" w:customStyle="1" w:styleId="numberedtext">
    <w:name w:val="numbered text"/>
    <w:basedOn w:val="Normal"/>
    <w:qFormat/>
    <w:rsid w:val="001862F2"/>
    <w:pPr>
      <w:tabs>
        <w:tab w:val="left" w:pos="601"/>
      </w:tabs>
      <w:ind w:left="34" w:hanging="34"/>
    </w:pPr>
    <w:rPr>
      <w:rFonts w:asciiTheme="minorHAnsi" w:eastAsiaTheme="minorHAnsi" w:hAnsiTheme="minorHAnsi" w:cstheme="minorBidi"/>
      <w:szCs w:val="22"/>
      <w:lang w:eastAsia="en-US"/>
    </w:rPr>
  </w:style>
  <w:style w:type="paragraph" w:customStyle="1" w:styleId="paragraph">
    <w:name w:val="paragraph"/>
    <w:basedOn w:val="Normal"/>
    <w:rsid w:val="005E35B0"/>
    <w:pPr>
      <w:tabs>
        <w:tab w:val="num" w:pos="1560"/>
      </w:tabs>
      <w:spacing w:before="100" w:beforeAutospacing="1" w:after="100" w:afterAutospacing="1"/>
      <w:ind w:left="1560" w:hanging="520"/>
    </w:pPr>
    <w:rPr>
      <w:rFonts w:ascii="Times New Roman" w:hAnsi="Times New Roman"/>
      <w:sz w:val="24"/>
      <w:szCs w:val="24"/>
    </w:rPr>
  </w:style>
  <w:style w:type="character" w:customStyle="1" w:styleId="DashChar">
    <w:name w:val="Dash Char"/>
    <w:basedOn w:val="DefaultParagraphFont"/>
    <w:link w:val="Dash"/>
    <w:rsid w:val="00056ADA"/>
    <w:rPr>
      <w:rFonts w:ascii="Calibri" w:eastAsia="Times New Roman" w:hAnsi="Calibri" w:cs="Times New Roman"/>
      <w:szCs w:val="20"/>
      <w:lang w:eastAsia="en-AU"/>
    </w:rPr>
  </w:style>
  <w:style w:type="paragraph" w:customStyle="1" w:styleId="msonormal0">
    <w:name w:val="msonormal"/>
    <w:basedOn w:val="Normal"/>
    <w:uiPriority w:val="99"/>
    <w:rsid w:val="003C3AFE"/>
    <w:pPr>
      <w:spacing w:before="100" w:beforeAutospacing="1" w:after="100" w:afterAutospacing="1"/>
      <w:ind w:left="567" w:hanging="567"/>
    </w:pPr>
    <w:rPr>
      <w:rFonts w:ascii="Times New Roman" w:hAnsi="Times New Roman"/>
      <w:sz w:val="24"/>
      <w:szCs w:val="24"/>
    </w:rPr>
  </w:style>
  <w:style w:type="paragraph" w:styleId="Caption">
    <w:name w:val="caption"/>
    <w:basedOn w:val="Normal"/>
    <w:next w:val="Normal"/>
    <w:uiPriority w:val="35"/>
    <w:unhideWhenUsed/>
    <w:qFormat/>
    <w:rsid w:val="003C3AFE"/>
    <w:pPr>
      <w:spacing w:after="200"/>
      <w:ind w:left="567" w:hanging="567"/>
    </w:pPr>
    <w:rPr>
      <w:rFonts w:asciiTheme="minorHAnsi" w:eastAsiaTheme="minorHAnsi" w:hAnsiTheme="minorHAnsi" w:cstheme="minorBidi"/>
      <w:i/>
      <w:iCs/>
      <w:color w:val="5F5F5F" w:themeColor="text2"/>
      <w:sz w:val="18"/>
      <w:szCs w:val="18"/>
      <w:lang w:eastAsia="en-US"/>
    </w:rPr>
  </w:style>
  <w:style w:type="paragraph" w:styleId="NoSpacing">
    <w:name w:val="No Spacing"/>
    <w:uiPriority w:val="1"/>
    <w:qFormat/>
    <w:rsid w:val="003C3AFE"/>
    <w:pPr>
      <w:spacing w:before="120" w:after="0" w:line="240" w:lineRule="auto"/>
      <w:ind w:left="567" w:hanging="567"/>
    </w:pPr>
  </w:style>
  <w:style w:type="paragraph" w:styleId="Revision">
    <w:name w:val="Revision"/>
    <w:uiPriority w:val="99"/>
    <w:semiHidden/>
    <w:rsid w:val="003C3AFE"/>
    <w:pPr>
      <w:spacing w:before="120" w:after="0" w:line="240" w:lineRule="auto"/>
      <w:ind w:left="567" w:hanging="567"/>
    </w:pPr>
  </w:style>
  <w:style w:type="paragraph" w:styleId="TOCHeading">
    <w:name w:val="TOC Heading"/>
    <w:basedOn w:val="Heading1"/>
    <w:next w:val="Normal"/>
    <w:uiPriority w:val="39"/>
    <w:semiHidden/>
    <w:unhideWhenUsed/>
    <w:qFormat/>
    <w:rsid w:val="003C3AFE"/>
    <w:pPr>
      <w:keepLines/>
      <w:spacing w:before="240" w:after="0"/>
      <w:ind w:left="567" w:hanging="567"/>
      <w:outlineLvl w:val="9"/>
    </w:pPr>
    <w:rPr>
      <w:rFonts w:asciiTheme="majorHAnsi" w:eastAsiaTheme="majorEastAsia" w:hAnsiTheme="majorHAnsi" w:cstheme="majorBidi"/>
      <w:color w:val="002035" w:themeColor="accent1" w:themeShade="BF"/>
      <w:kern w:val="0"/>
      <w:sz w:val="32"/>
      <w:szCs w:val="32"/>
      <w:lang w:val="en-US" w:eastAsia="en-US"/>
    </w:rPr>
  </w:style>
  <w:style w:type="character" w:customStyle="1" w:styleId="DoubleDotChar">
    <w:name w:val="Double Dot Char"/>
    <w:basedOn w:val="DefaultParagraphFont"/>
    <w:link w:val="DoubleDot"/>
    <w:locked/>
    <w:rsid w:val="003C3AFE"/>
    <w:rPr>
      <w:rFonts w:ascii="Calibri" w:eastAsia="Times New Roman" w:hAnsi="Calibri" w:cs="Times New Roman"/>
      <w:szCs w:val="20"/>
      <w:lang w:eastAsia="en-AU"/>
    </w:rPr>
  </w:style>
  <w:style w:type="character" w:customStyle="1" w:styleId="OutlineNumbered1Char">
    <w:name w:val="Outline Numbered 1 Char"/>
    <w:basedOn w:val="DefaultParagraphFont"/>
    <w:link w:val="OutlineNumbered1"/>
    <w:locked/>
    <w:rsid w:val="003C3AFE"/>
    <w:rPr>
      <w:rFonts w:ascii="Calibri" w:eastAsia="Times New Roman" w:hAnsi="Calibri" w:cs="Times New Roman"/>
      <w:szCs w:val="20"/>
      <w:lang w:eastAsia="en-AU"/>
    </w:rPr>
  </w:style>
  <w:style w:type="paragraph" w:customStyle="1" w:styleId="TableParagraph">
    <w:name w:val="Table Paragraph"/>
    <w:basedOn w:val="Normal"/>
    <w:uiPriority w:val="1"/>
    <w:qFormat/>
    <w:rsid w:val="003C3AFE"/>
    <w:pPr>
      <w:widowControl w:val="0"/>
      <w:autoSpaceDE w:val="0"/>
      <w:autoSpaceDN w:val="0"/>
      <w:spacing w:after="0"/>
      <w:ind w:left="567" w:hanging="567"/>
    </w:pPr>
    <w:rPr>
      <w:rFonts w:ascii="Century Gothic" w:eastAsia="Century Gothic" w:hAnsi="Century Gothic" w:cs="Century Gothic"/>
      <w:szCs w:val="22"/>
      <w:lang w:eastAsia="en-US"/>
    </w:rPr>
  </w:style>
  <w:style w:type="paragraph" w:customStyle="1" w:styleId="Default">
    <w:name w:val="Default"/>
    <w:uiPriority w:val="99"/>
    <w:rsid w:val="003C3AFE"/>
    <w:pPr>
      <w:autoSpaceDE w:val="0"/>
      <w:autoSpaceDN w:val="0"/>
      <w:adjustRightInd w:val="0"/>
      <w:spacing w:before="120" w:after="0" w:line="240" w:lineRule="auto"/>
      <w:ind w:left="567" w:hanging="567"/>
    </w:pPr>
    <w:rPr>
      <w:rFonts w:ascii="Calibri" w:hAnsi="Calibri" w:cs="Calibri"/>
      <w:color w:val="000000"/>
      <w:sz w:val="24"/>
      <w:szCs w:val="24"/>
    </w:rPr>
  </w:style>
  <w:style w:type="table" w:customStyle="1" w:styleId="TableGrid1">
    <w:name w:val="Table Grid1"/>
    <w:basedOn w:val="TableNormal"/>
    <w:uiPriority w:val="39"/>
    <w:rsid w:val="003C3AFE"/>
    <w:pPr>
      <w:spacing w:before="120" w:after="0" w:line="240" w:lineRule="auto"/>
      <w:ind w:left="567" w:hanging="567"/>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3C3AFE"/>
    <w:rPr>
      <w:i/>
      <w:iCs/>
      <w:color w:val="002C47" w:themeColor="accent1"/>
    </w:rPr>
  </w:style>
  <w:style w:type="character" w:styleId="Mention">
    <w:name w:val="Mention"/>
    <w:basedOn w:val="DefaultParagraphFont"/>
    <w:uiPriority w:val="99"/>
    <w:unhideWhenUsed/>
    <w:rsid w:val="003C3AFE"/>
    <w:rPr>
      <w:color w:val="2B579A"/>
      <w:shd w:val="clear" w:color="auto" w:fill="E6E6E6"/>
    </w:rPr>
  </w:style>
  <w:style w:type="character" w:customStyle="1" w:styleId="normaltextrun">
    <w:name w:val="normaltextrun"/>
    <w:basedOn w:val="DefaultParagraphFont"/>
    <w:rsid w:val="00312C69"/>
  </w:style>
  <w:style w:type="character" w:customStyle="1" w:styleId="ListParagraphChar">
    <w:name w:val="List Paragraph Char"/>
    <w:aliases w:val="Para Nbr 1 Char,Noise heading Char,List Paragraph1 Char,Footnote Sam Char,Cell bullets Char,RUS List Char,Issue Action POC Char,3 Char,POCG Table Text Char,Dot pt Char,F5 List Paragraph Char,List Paragraph Char Char Char Char,L Char"/>
    <w:basedOn w:val="DefaultParagraphFont"/>
    <w:link w:val="ListParagraph"/>
    <w:uiPriority w:val="34"/>
    <w:qFormat/>
    <w:rsid w:val="00312C69"/>
    <w:rPr>
      <w:rFonts w:ascii="Calibri" w:eastAsia="Times New Roman" w:hAnsi="Calibri" w:cs="Times New Roman"/>
      <w:szCs w:val="20"/>
      <w:lang w:eastAsia="en-AU"/>
    </w:rPr>
  </w:style>
  <w:style w:type="character" w:customStyle="1" w:styleId="eop">
    <w:name w:val="eop"/>
    <w:basedOn w:val="DefaultParagraphFont"/>
    <w:rsid w:val="002A3972"/>
  </w:style>
  <w:style w:type="table" w:customStyle="1" w:styleId="TableGrid2">
    <w:name w:val="Table Grid2"/>
    <w:basedOn w:val="TableNormal"/>
    <w:next w:val="TableGrid"/>
    <w:uiPriority w:val="39"/>
    <w:rsid w:val="00587594"/>
    <w:pPr>
      <w:tabs>
        <w:tab w:val="num" w:pos="1040"/>
      </w:tabs>
      <w:spacing w:after="240" w:line="260" w:lineRule="exact"/>
      <w:ind w:left="1040" w:hanging="520"/>
      <w:jc w:val="both"/>
    </w:pPr>
    <w:rPr>
      <w:rFonts w:ascii="Times New Roman" w:eastAsia="Times New Roman" w:hAnsi="Times New Roman" w:cs="Times New Roman"/>
      <w:sz w:val="20"/>
      <w:szCs w:val="20"/>
      <w:lang w:eastAsia="en-AU"/>
    </w:rPr>
    <w:tblPr/>
    <w:tcPr>
      <w:shd w:val="clear" w:color="auto" w:fill="E6E6E6"/>
    </w:tcPr>
  </w:style>
  <w:style w:type="table" w:customStyle="1" w:styleId="TableGrid3">
    <w:name w:val="Table Grid3"/>
    <w:basedOn w:val="TableNormal"/>
    <w:next w:val="TableGrid"/>
    <w:uiPriority w:val="39"/>
    <w:rsid w:val="005C2295"/>
    <w:pPr>
      <w:tabs>
        <w:tab w:val="num" w:pos="1040"/>
      </w:tabs>
      <w:spacing w:after="240" w:line="260" w:lineRule="exact"/>
      <w:ind w:left="1040" w:hanging="520"/>
      <w:jc w:val="both"/>
    </w:pPr>
    <w:rPr>
      <w:rFonts w:ascii="Times New Roman" w:eastAsia="Times New Roman" w:hAnsi="Times New Roman" w:cs="Times New Roman"/>
      <w:sz w:val="20"/>
      <w:szCs w:val="20"/>
      <w:lang w:eastAsia="en-AU"/>
    </w:rPr>
    <w:tblPr/>
    <w:tcPr>
      <w:shd w:val="clear" w:color="auto" w:fill="E6E6E6"/>
    </w:tcPr>
  </w:style>
  <w:style w:type="character" w:customStyle="1" w:styleId="OutlineNumbered2Char">
    <w:name w:val="Outline Numbered 2 Char"/>
    <w:basedOn w:val="Heading2Char"/>
    <w:link w:val="OutlineNumbered2"/>
    <w:rsid w:val="00110931"/>
    <w:rPr>
      <w:rFonts w:ascii="Calibri" w:eastAsia="Times New Roman" w:hAnsi="Calibri" w:cs="Times New Roman"/>
      <w:iCs w:val="0"/>
      <w:color w:val="003379"/>
      <w:kern w:val="32"/>
      <w:sz w:val="36"/>
      <w:szCs w:val="20"/>
      <w:lang w:eastAsia="en-AU"/>
    </w:rPr>
  </w:style>
  <w:style w:type="character" w:customStyle="1" w:styleId="OutlineNumbered3Char">
    <w:name w:val="Outline Numbered 3 Char"/>
    <w:basedOn w:val="Heading2Char"/>
    <w:link w:val="OutlineNumbered3"/>
    <w:rsid w:val="00110931"/>
    <w:rPr>
      <w:rFonts w:ascii="Calibri" w:eastAsia="Times New Roman" w:hAnsi="Calibri" w:cs="Times New Roman"/>
      <w:iCs w:val="0"/>
      <w:color w:val="003379"/>
      <w:kern w:val="32"/>
      <w:sz w:val="36"/>
      <w:szCs w:val="20"/>
      <w:lang w:eastAsia="en-AU"/>
    </w:rPr>
  </w:style>
  <w:style w:type="table" w:customStyle="1" w:styleId="FRAAtable">
    <w:name w:val="FRAA table"/>
    <w:basedOn w:val="TableNormal"/>
    <w:uiPriority w:val="99"/>
    <w:rsid w:val="00110931"/>
    <w:pPr>
      <w:spacing w:after="0" w:line="240" w:lineRule="auto"/>
    </w:pPr>
    <w:tblPr>
      <w:tblStyleRowBandSize w:val="1"/>
      <w:tblBorders>
        <w:top w:val="single" w:sz="4" w:space="0" w:color="002C47" w:themeColor="accent1"/>
        <w:bottom w:val="single" w:sz="4" w:space="0" w:color="002C47" w:themeColor="accent1"/>
      </w:tblBorders>
      <w:tblCellMar>
        <w:top w:w="113" w:type="dxa"/>
        <w:bottom w:w="113" w:type="dxa"/>
      </w:tblCellMar>
    </w:tblPr>
    <w:tblStylePr w:type="firstRow">
      <w:tblPr/>
      <w:tcPr>
        <w:tcBorders>
          <w:top w:val="single" w:sz="4" w:space="0" w:color="002C47" w:themeColor="accent1"/>
          <w:left w:val="nil"/>
          <w:bottom w:val="single" w:sz="4" w:space="0" w:color="002C47" w:themeColor="accent1"/>
          <w:right w:val="nil"/>
          <w:insideH w:val="nil"/>
          <w:insideV w:val="nil"/>
          <w:tl2br w:val="nil"/>
          <w:tr2bl w:val="nil"/>
        </w:tcBorders>
      </w:tcPr>
    </w:tblStylePr>
    <w:tblStylePr w:type="band1Horz">
      <w:tblPr/>
      <w:tcPr>
        <w:shd w:val="clear" w:color="auto" w:fill="E9F6F6"/>
      </w:tcPr>
    </w:tblStylePr>
  </w:style>
  <w:style w:type="character" w:styleId="Emphasis">
    <w:name w:val="Emphasis"/>
    <w:basedOn w:val="DefaultParagraphFont"/>
    <w:uiPriority w:val="20"/>
    <w:qFormat/>
    <w:rsid w:val="00110931"/>
    <w:rPr>
      <w:i/>
      <w:iCs/>
    </w:rPr>
  </w:style>
  <w:style w:type="table" w:customStyle="1" w:styleId="TableGrid4">
    <w:name w:val="Table Grid4"/>
    <w:basedOn w:val="TableNormal"/>
    <w:next w:val="TableGrid"/>
    <w:uiPriority w:val="39"/>
    <w:rsid w:val="0017094C"/>
    <w:pPr>
      <w:spacing w:before="120" w:after="240" w:line="260" w:lineRule="exact"/>
      <w:ind w:left="567" w:hanging="567"/>
      <w:jc w:val="both"/>
    </w:pPr>
    <w:rPr>
      <w:rFonts w:ascii="Times New Roman" w:eastAsia="Times New Roman" w:hAnsi="Times New Roman" w:cs="Times New Roman"/>
      <w:sz w:val="20"/>
      <w:szCs w:val="20"/>
    </w:rPr>
    <w:tblPr>
      <w:tblInd w:w="0" w:type="nil"/>
    </w:tblPr>
    <w:tcPr>
      <w:shd w:val="clear" w:color="auto" w:fill="E6E6E6"/>
    </w:tcPr>
  </w:style>
  <w:style w:type="paragraph" w:styleId="PlainText">
    <w:name w:val="Plain Text"/>
    <w:basedOn w:val="Normal"/>
    <w:link w:val="PlainTextChar"/>
    <w:uiPriority w:val="99"/>
    <w:unhideWhenUsed/>
    <w:rsid w:val="0017094C"/>
    <w:pPr>
      <w:spacing w:before="0" w:after="0"/>
    </w:pPr>
    <w:rPr>
      <w:rFonts w:eastAsiaTheme="minorHAnsi" w:cstheme="minorBidi"/>
      <w:szCs w:val="21"/>
      <w:lang w:eastAsia="en-US"/>
    </w:rPr>
  </w:style>
  <w:style w:type="character" w:customStyle="1" w:styleId="PlainTextChar">
    <w:name w:val="Plain Text Char"/>
    <w:basedOn w:val="DefaultParagraphFont"/>
    <w:link w:val="PlainText"/>
    <w:uiPriority w:val="99"/>
    <w:rsid w:val="0017094C"/>
    <w:rPr>
      <w:rFonts w:ascii="Calibri" w:hAnsi="Calibri"/>
      <w:szCs w:val="21"/>
    </w:rPr>
  </w:style>
  <w:style w:type="numbering" w:customStyle="1" w:styleId="BulletedList1">
    <w:name w:val="Bulleted List1"/>
    <w:uiPriority w:val="99"/>
    <w:rsid w:val="00E457D3"/>
    <w:pPr>
      <w:numPr>
        <w:numId w:val="1"/>
      </w:numPr>
    </w:pPr>
  </w:style>
  <w:style w:type="table" w:customStyle="1" w:styleId="TableGrid5">
    <w:name w:val="Table Grid5"/>
    <w:basedOn w:val="TableNormal"/>
    <w:next w:val="TableGrid"/>
    <w:uiPriority w:val="39"/>
    <w:rsid w:val="00022A1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279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279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3279AC"/>
    <w:pPr>
      <w:spacing w:before="0" w:after="0"/>
    </w:pPr>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semiHidden/>
    <w:rsid w:val="003279AC"/>
    <w:rPr>
      <w:sz w:val="20"/>
      <w:szCs w:val="20"/>
    </w:rPr>
  </w:style>
  <w:style w:type="character" w:styleId="EndnoteReference">
    <w:name w:val="endnote reference"/>
    <w:basedOn w:val="DefaultParagraphFont"/>
    <w:uiPriority w:val="99"/>
    <w:semiHidden/>
    <w:unhideWhenUsed/>
    <w:rsid w:val="003279AC"/>
    <w:rPr>
      <w:vertAlign w:val="superscript"/>
    </w:rPr>
  </w:style>
  <w:style w:type="paragraph" w:customStyle="1" w:styleId="Source">
    <w:name w:val="Source"/>
    <w:basedOn w:val="numberedtext"/>
    <w:rsid w:val="001A1CBE"/>
    <w:pPr>
      <w:spacing w:after="240"/>
      <w:ind w:left="567" w:firstLine="0"/>
    </w:pPr>
    <w:rPr>
      <w:sz w:val="18"/>
      <w:szCs w:val="18"/>
    </w:rPr>
  </w:style>
  <w:style w:type="paragraph" w:styleId="Quote">
    <w:name w:val="Quote"/>
    <w:basedOn w:val="ListParagraph"/>
    <w:next w:val="Normal"/>
    <w:link w:val="QuoteChar"/>
    <w:uiPriority w:val="29"/>
    <w:qFormat/>
    <w:rsid w:val="0001492E"/>
    <w:pPr>
      <w:spacing w:after="160" w:line="257" w:lineRule="auto"/>
      <w:ind w:left="567"/>
      <w:contextualSpacing w:val="0"/>
    </w:pPr>
    <w:rPr>
      <w:i/>
      <w:iCs/>
      <w:szCs w:val="22"/>
    </w:rPr>
  </w:style>
  <w:style w:type="character" w:customStyle="1" w:styleId="QuoteChar">
    <w:name w:val="Quote Char"/>
    <w:basedOn w:val="DefaultParagraphFont"/>
    <w:link w:val="Quote"/>
    <w:uiPriority w:val="29"/>
    <w:rsid w:val="0001492E"/>
    <w:rPr>
      <w:rFonts w:ascii="Calibri" w:eastAsia="Times New Roman" w:hAnsi="Calibri" w:cs="Times New Roman"/>
      <w:i/>
      <w:iCs/>
      <w:lang w:eastAsia="en-AU"/>
    </w:rPr>
  </w:style>
  <w:style w:type="numbering" w:customStyle="1" w:styleId="OneLevelList">
    <w:name w:val="OneLevelList"/>
    <w:uiPriority w:val="99"/>
    <w:rsid w:val="00AC7ECA"/>
    <w:pPr>
      <w:numPr>
        <w:numId w:val="22"/>
      </w:numPr>
    </w:pPr>
  </w:style>
  <w:style w:type="table" w:customStyle="1" w:styleId="FRAAtable1">
    <w:name w:val="FRAA table1"/>
    <w:basedOn w:val="TableNormal"/>
    <w:uiPriority w:val="99"/>
    <w:rsid w:val="00AC7ECA"/>
    <w:pPr>
      <w:spacing w:after="0" w:line="240" w:lineRule="auto"/>
    </w:pPr>
    <w:tblPr>
      <w:tblStyleRowBandSize w:val="1"/>
      <w:tblBorders>
        <w:top w:val="single" w:sz="4" w:space="0" w:color="002C47" w:themeColor="accent1"/>
        <w:bottom w:val="single" w:sz="4" w:space="0" w:color="002C47" w:themeColor="accent1"/>
      </w:tblBorders>
      <w:tblCellMar>
        <w:top w:w="113" w:type="dxa"/>
        <w:bottom w:w="113" w:type="dxa"/>
      </w:tblCellMar>
    </w:tblPr>
    <w:tblStylePr w:type="firstRow">
      <w:tblPr/>
      <w:tcPr>
        <w:tcBorders>
          <w:top w:val="single" w:sz="4" w:space="0" w:color="002C47" w:themeColor="accent1"/>
          <w:left w:val="nil"/>
          <w:bottom w:val="single" w:sz="4" w:space="0" w:color="002C47" w:themeColor="accent1"/>
          <w:right w:val="nil"/>
          <w:insideH w:val="nil"/>
          <w:insideV w:val="nil"/>
          <w:tl2br w:val="nil"/>
          <w:tr2bl w:val="nil"/>
        </w:tcBorders>
      </w:tcPr>
    </w:tblStylePr>
    <w:tblStylePr w:type="band1Horz">
      <w:tblPr/>
      <w:tcPr>
        <w:shd w:val="clear" w:color="auto" w:fill="E9F6F6"/>
      </w:tcPr>
    </w:tblStylePr>
  </w:style>
  <w:style w:type="paragraph" w:styleId="TOC4">
    <w:name w:val="toc 4"/>
    <w:basedOn w:val="Normal"/>
    <w:next w:val="Normal"/>
    <w:autoRedefine/>
    <w:uiPriority w:val="39"/>
    <w:unhideWhenUsed/>
    <w:rsid w:val="00F559D9"/>
    <w:pPr>
      <w:spacing w:before="0"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F559D9"/>
    <w:pPr>
      <w:spacing w:before="0"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F559D9"/>
    <w:pPr>
      <w:spacing w:before="0"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F559D9"/>
    <w:pPr>
      <w:spacing w:before="0"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F559D9"/>
    <w:pPr>
      <w:spacing w:before="0"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F559D9"/>
    <w:pPr>
      <w:spacing w:before="0" w:after="100" w:line="259" w:lineRule="auto"/>
      <w:ind w:left="1760"/>
    </w:pPr>
    <w:rPr>
      <w:rFonts w:asciiTheme="minorHAnsi" w:eastAsiaTheme="minorEastAsia" w:hAnsiTheme="minorHAnsi" w:cstheme="minorBidi"/>
      <w:szCs w:val="22"/>
    </w:rPr>
  </w:style>
  <w:style w:type="paragraph" w:customStyle="1" w:styleId="Tabletext">
    <w:name w:val="Table text"/>
    <w:basedOn w:val="Normal"/>
    <w:qFormat/>
    <w:rsid w:val="00917A17"/>
    <w:pPr>
      <w:tabs>
        <w:tab w:val="left" w:pos="601"/>
      </w:tabs>
      <w:ind w:left="34" w:hanging="34"/>
    </w:pPr>
    <w:rPr>
      <w:rFonts w:asciiTheme="minorHAnsi" w:eastAsiaTheme="minorHAnsi" w:hAnsiTheme="minorHAnsi" w:cstheme="minorBidi"/>
      <w:sz w:val="24"/>
      <w:szCs w:val="22"/>
      <w:lang w:eastAsia="en-US"/>
    </w:rPr>
  </w:style>
  <w:style w:type="paragraph" w:customStyle="1" w:styleId="Bulletleft">
    <w:name w:val="Bullet left"/>
    <w:basedOn w:val="Bullet"/>
    <w:qFormat/>
    <w:rsid w:val="00812515"/>
    <w:pPr>
      <w:tabs>
        <w:tab w:val="left" w:pos="284"/>
      </w:tabs>
      <w:ind w:left="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59297">
      <w:bodyDiv w:val="1"/>
      <w:marLeft w:val="0"/>
      <w:marRight w:val="0"/>
      <w:marTop w:val="0"/>
      <w:marBottom w:val="0"/>
      <w:divBdr>
        <w:top w:val="none" w:sz="0" w:space="0" w:color="auto"/>
        <w:left w:val="none" w:sz="0" w:space="0" w:color="auto"/>
        <w:bottom w:val="none" w:sz="0" w:space="0" w:color="auto"/>
        <w:right w:val="none" w:sz="0" w:space="0" w:color="auto"/>
      </w:divBdr>
    </w:div>
    <w:div w:id="189611741">
      <w:bodyDiv w:val="1"/>
      <w:marLeft w:val="0"/>
      <w:marRight w:val="0"/>
      <w:marTop w:val="0"/>
      <w:marBottom w:val="0"/>
      <w:divBdr>
        <w:top w:val="none" w:sz="0" w:space="0" w:color="auto"/>
        <w:left w:val="none" w:sz="0" w:space="0" w:color="auto"/>
        <w:bottom w:val="none" w:sz="0" w:space="0" w:color="auto"/>
        <w:right w:val="none" w:sz="0" w:space="0" w:color="auto"/>
      </w:divBdr>
    </w:div>
    <w:div w:id="328141833">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502092113">
      <w:bodyDiv w:val="1"/>
      <w:marLeft w:val="0"/>
      <w:marRight w:val="0"/>
      <w:marTop w:val="0"/>
      <w:marBottom w:val="0"/>
      <w:divBdr>
        <w:top w:val="none" w:sz="0" w:space="0" w:color="auto"/>
        <w:left w:val="none" w:sz="0" w:space="0" w:color="auto"/>
        <w:bottom w:val="none" w:sz="0" w:space="0" w:color="auto"/>
        <w:right w:val="none" w:sz="0" w:space="0" w:color="auto"/>
      </w:divBdr>
    </w:div>
    <w:div w:id="625311516">
      <w:bodyDiv w:val="1"/>
      <w:marLeft w:val="0"/>
      <w:marRight w:val="0"/>
      <w:marTop w:val="0"/>
      <w:marBottom w:val="0"/>
      <w:divBdr>
        <w:top w:val="none" w:sz="0" w:space="0" w:color="auto"/>
        <w:left w:val="none" w:sz="0" w:space="0" w:color="auto"/>
        <w:bottom w:val="none" w:sz="0" w:space="0" w:color="auto"/>
        <w:right w:val="none" w:sz="0" w:space="0" w:color="auto"/>
      </w:divBdr>
    </w:div>
    <w:div w:id="648945103">
      <w:bodyDiv w:val="1"/>
      <w:marLeft w:val="0"/>
      <w:marRight w:val="0"/>
      <w:marTop w:val="0"/>
      <w:marBottom w:val="0"/>
      <w:divBdr>
        <w:top w:val="none" w:sz="0" w:space="0" w:color="auto"/>
        <w:left w:val="none" w:sz="0" w:space="0" w:color="auto"/>
        <w:bottom w:val="none" w:sz="0" w:space="0" w:color="auto"/>
        <w:right w:val="none" w:sz="0" w:space="0" w:color="auto"/>
      </w:divBdr>
    </w:div>
    <w:div w:id="1180580480">
      <w:bodyDiv w:val="1"/>
      <w:marLeft w:val="0"/>
      <w:marRight w:val="0"/>
      <w:marTop w:val="0"/>
      <w:marBottom w:val="0"/>
      <w:divBdr>
        <w:top w:val="none" w:sz="0" w:space="0" w:color="auto"/>
        <w:left w:val="none" w:sz="0" w:space="0" w:color="auto"/>
        <w:bottom w:val="none" w:sz="0" w:space="0" w:color="auto"/>
        <w:right w:val="none" w:sz="0" w:space="0" w:color="auto"/>
      </w:divBdr>
    </w:div>
    <w:div w:id="1382904147">
      <w:bodyDiv w:val="1"/>
      <w:marLeft w:val="0"/>
      <w:marRight w:val="0"/>
      <w:marTop w:val="0"/>
      <w:marBottom w:val="0"/>
      <w:divBdr>
        <w:top w:val="none" w:sz="0" w:space="0" w:color="auto"/>
        <w:left w:val="none" w:sz="0" w:space="0" w:color="auto"/>
        <w:bottom w:val="none" w:sz="0" w:space="0" w:color="auto"/>
        <w:right w:val="none" w:sz="0" w:space="0" w:color="auto"/>
      </w:divBdr>
    </w:div>
    <w:div w:id="1430010086">
      <w:bodyDiv w:val="1"/>
      <w:marLeft w:val="0"/>
      <w:marRight w:val="0"/>
      <w:marTop w:val="0"/>
      <w:marBottom w:val="0"/>
      <w:divBdr>
        <w:top w:val="none" w:sz="0" w:space="0" w:color="auto"/>
        <w:left w:val="none" w:sz="0" w:space="0" w:color="auto"/>
        <w:bottom w:val="none" w:sz="0" w:space="0" w:color="auto"/>
        <w:right w:val="none" w:sz="0" w:space="0" w:color="auto"/>
      </w:divBdr>
    </w:div>
    <w:div w:id="1495803480">
      <w:bodyDiv w:val="1"/>
      <w:marLeft w:val="0"/>
      <w:marRight w:val="0"/>
      <w:marTop w:val="0"/>
      <w:marBottom w:val="0"/>
      <w:divBdr>
        <w:top w:val="none" w:sz="0" w:space="0" w:color="auto"/>
        <w:left w:val="none" w:sz="0" w:space="0" w:color="auto"/>
        <w:bottom w:val="none" w:sz="0" w:space="0" w:color="auto"/>
        <w:right w:val="none" w:sz="0" w:space="0" w:color="auto"/>
      </w:divBdr>
    </w:div>
    <w:div w:id="1775056287">
      <w:bodyDiv w:val="1"/>
      <w:marLeft w:val="0"/>
      <w:marRight w:val="0"/>
      <w:marTop w:val="0"/>
      <w:marBottom w:val="0"/>
      <w:divBdr>
        <w:top w:val="none" w:sz="0" w:space="0" w:color="auto"/>
        <w:left w:val="none" w:sz="0" w:space="0" w:color="auto"/>
        <w:bottom w:val="none" w:sz="0" w:space="0" w:color="auto"/>
        <w:right w:val="none" w:sz="0" w:space="0" w:color="auto"/>
      </w:divBdr>
    </w:div>
    <w:div w:id="1900358050">
      <w:bodyDiv w:val="1"/>
      <w:marLeft w:val="0"/>
      <w:marRight w:val="0"/>
      <w:marTop w:val="0"/>
      <w:marBottom w:val="0"/>
      <w:divBdr>
        <w:top w:val="none" w:sz="0" w:space="0" w:color="auto"/>
        <w:left w:val="none" w:sz="0" w:space="0" w:color="auto"/>
        <w:bottom w:val="none" w:sz="0" w:space="0" w:color="auto"/>
        <w:right w:val="none" w:sz="0" w:space="0" w:color="auto"/>
      </w:divBdr>
    </w:div>
    <w:div w:id="1950308693">
      <w:bodyDiv w:val="1"/>
      <w:marLeft w:val="0"/>
      <w:marRight w:val="0"/>
      <w:marTop w:val="0"/>
      <w:marBottom w:val="0"/>
      <w:divBdr>
        <w:top w:val="none" w:sz="0" w:space="0" w:color="auto"/>
        <w:left w:val="none" w:sz="0" w:space="0" w:color="auto"/>
        <w:bottom w:val="none" w:sz="0" w:space="0" w:color="auto"/>
        <w:right w:val="none" w:sz="0" w:space="0" w:color="auto"/>
      </w:divBdr>
      <w:divsChild>
        <w:div w:id="2365511">
          <w:marLeft w:val="0"/>
          <w:marRight w:val="0"/>
          <w:marTop w:val="0"/>
          <w:marBottom w:val="0"/>
          <w:divBdr>
            <w:top w:val="none" w:sz="0" w:space="0" w:color="auto"/>
            <w:left w:val="none" w:sz="0" w:space="0" w:color="auto"/>
            <w:bottom w:val="none" w:sz="0" w:space="0" w:color="auto"/>
            <w:right w:val="none" w:sz="0" w:space="0" w:color="auto"/>
          </w:divBdr>
          <w:divsChild>
            <w:div w:id="1917936120">
              <w:marLeft w:val="0"/>
              <w:marRight w:val="0"/>
              <w:marTop w:val="0"/>
              <w:marBottom w:val="0"/>
              <w:divBdr>
                <w:top w:val="none" w:sz="0" w:space="0" w:color="auto"/>
                <w:left w:val="none" w:sz="0" w:space="0" w:color="auto"/>
                <w:bottom w:val="none" w:sz="0" w:space="0" w:color="auto"/>
                <w:right w:val="none" w:sz="0" w:space="0" w:color="auto"/>
              </w:divBdr>
            </w:div>
          </w:divsChild>
        </w:div>
        <w:div w:id="6566134">
          <w:marLeft w:val="0"/>
          <w:marRight w:val="0"/>
          <w:marTop w:val="0"/>
          <w:marBottom w:val="0"/>
          <w:divBdr>
            <w:top w:val="none" w:sz="0" w:space="0" w:color="auto"/>
            <w:left w:val="none" w:sz="0" w:space="0" w:color="auto"/>
            <w:bottom w:val="none" w:sz="0" w:space="0" w:color="auto"/>
            <w:right w:val="none" w:sz="0" w:space="0" w:color="auto"/>
          </w:divBdr>
          <w:divsChild>
            <w:div w:id="1142388721">
              <w:marLeft w:val="0"/>
              <w:marRight w:val="0"/>
              <w:marTop w:val="0"/>
              <w:marBottom w:val="0"/>
              <w:divBdr>
                <w:top w:val="none" w:sz="0" w:space="0" w:color="auto"/>
                <w:left w:val="none" w:sz="0" w:space="0" w:color="auto"/>
                <w:bottom w:val="none" w:sz="0" w:space="0" w:color="auto"/>
                <w:right w:val="none" w:sz="0" w:space="0" w:color="auto"/>
              </w:divBdr>
            </w:div>
            <w:div w:id="1158810827">
              <w:marLeft w:val="0"/>
              <w:marRight w:val="0"/>
              <w:marTop w:val="0"/>
              <w:marBottom w:val="0"/>
              <w:divBdr>
                <w:top w:val="none" w:sz="0" w:space="0" w:color="auto"/>
                <w:left w:val="none" w:sz="0" w:space="0" w:color="auto"/>
                <w:bottom w:val="none" w:sz="0" w:space="0" w:color="auto"/>
                <w:right w:val="none" w:sz="0" w:space="0" w:color="auto"/>
              </w:divBdr>
            </w:div>
          </w:divsChild>
        </w:div>
        <w:div w:id="28191024">
          <w:marLeft w:val="0"/>
          <w:marRight w:val="0"/>
          <w:marTop w:val="0"/>
          <w:marBottom w:val="0"/>
          <w:divBdr>
            <w:top w:val="none" w:sz="0" w:space="0" w:color="auto"/>
            <w:left w:val="none" w:sz="0" w:space="0" w:color="auto"/>
            <w:bottom w:val="none" w:sz="0" w:space="0" w:color="auto"/>
            <w:right w:val="none" w:sz="0" w:space="0" w:color="auto"/>
          </w:divBdr>
          <w:divsChild>
            <w:div w:id="1404911377">
              <w:marLeft w:val="0"/>
              <w:marRight w:val="0"/>
              <w:marTop w:val="0"/>
              <w:marBottom w:val="0"/>
              <w:divBdr>
                <w:top w:val="none" w:sz="0" w:space="0" w:color="auto"/>
                <w:left w:val="none" w:sz="0" w:space="0" w:color="auto"/>
                <w:bottom w:val="none" w:sz="0" w:space="0" w:color="auto"/>
                <w:right w:val="none" w:sz="0" w:space="0" w:color="auto"/>
              </w:divBdr>
            </w:div>
          </w:divsChild>
        </w:div>
        <w:div w:id="50273718">
          <w:marLeft w:val="0"/>
          <w:marRight w:val="0"/>
          <w:marTop w:val="0"/>
          <w:marBottom w:val="0"/>
          <w:divBdr>
            <w:top w:val="none" w:sz="0" w:space="0" w:color="auto"/>
            <w:left w:val="none" w:sz="0" w:space="0" w:color="auto"/>
            <w:bottom w:val="none" w:sz="0" w:space="0" w:color="auto"/>
            <w:right w:val="none" w:sz="0" w:space="0" w:color="auto"/>
          </w:divBdr>
          <w:divsChild>
            <w:div w:id="1354260053">
              <w:marLeft w:val="0"/>
              <w:marRight w:val="0"/>
              <w:marTop w:val="0"/>
              <w:marBottom w:val="0"/>
              <w:divBdr>
                <w:top w:val="none" w:sz="0" w:space="0" w:color="auto"/>
                <w:left w:val="none" w:sz="0" w:space="0" w:color="auto"/>
                <w:bottom w:val="none" w:sz="0" w:space="0" w:color="auto"/>
                <w:right w:val="none" w:sz="0" w:space="0" w:color="auto"/>
              </w:divBdr>
            </w:div>
          </w:divsChild>
        </w:div>
        <w:div w:id="74327872">
          <w:marLeft w:val="0"/>
          <w:marRight w:val="0"/>
          <w:marTop w:val="0"/>
          <w:marBottom w:val="0"/>
          <w:divBdr>
            <w:top w:val="none" w:sz="0" w:space="0" w:color="auto"/>
            <w:left w:val="none" w:sz="0" w:space="0" w:color="auto"/>
            <w:bottom w:val="none" w:sz="0" w:space="0" w:color="auto"/>
            <w:right w:val="none" w:sz="0" w:space="0" w:color="auto"/>
          </w:divBdr>
          <w:divsChild>
            <w:div w:id="1969387955">
              <w:marLeft w:val="0"/>
              <w:marRight w:val="0"/>
              <w:marTop w:val="0"/>
              <w:marBottom w:val="0"/>
              <w:divBdr>
                <w:top w:val="none" w:sz="0" w:space="0" w:color="auto"/>
                <w:left w:val="none" w:sz="0" w:space="0" w:color="auto"/>
                <w:bottom w:val="none" w:sz="0" w:space="0" w:color="auto"/>
                <w:right w:val="none" w:sz="0" w:space="0" w:color="auto"/>
              </w:divBdr>
            </w:div>
          </w:divsChild>
        </w:div>
        <w:div w:id="102386650">
          <w:marLeft w:val="0"/>
          <w:marRight w:val="0"/>
          <w:marTop w:val="0"/>
          <w:marBottom w:val="0"/>
          <w:divBdr>
            <w:top w:val="none" w:sz="0" w:space="0" w:color="auto"/>
            <w:left w:val="none" w:sz="0" w:space="0" w:color="auto"/>
            <w:bottom w:val="none" w:sz="0" w:space="0" w:color="auto"/>
            <w:right w:val="none" w:sz="0" w:space="0" w:color="auto"/>
          </w:divBdr>
          <w:divsChild>
            <w:div w:id="1572885567">
              <w:marLeft w:val="0"/>
              <w:marRight w:val="0"/>
              <w:marTop w:val="0"/>
              <w:marBottom w:val="0"/>
              <w:divBdr>
                <w:top w:val="none" w:sz="0" w:space="0" w:color="auto"/>
                <w:left w:val="none" w:sz="0" w:space="0" w:color="auto"/>
                <w:bottom w:val="none" w:sz="0" w:space="0" w:color="auto"/>
                <w:right w:val="none" w:sz="0" w:space="0" w:color="auto"/>
              </w:divBdr>
            </w:div>
          </w:divsChild>
        </w:div>
        <w:div w:id="111245128">
          <w:marLeft w:val="0"/>
          <w:marRight w:val="0"/>
          <w:marTop w:val="0"/>
          <w:marBottom w:val="0"/>
          <w:divBdr>
            <w:top w:val="none" w:sz="0" w:space="0" w:color="auto"/>
            <w:left w:val="none" w:sz="0" w:space="0" w:color="auto"/>
            <w:bottom w:val="none" w:sz="0" w:space="0" w:color="auto"/>
            <w:right w:val="none" w:sz="0" w:space="0" w:color="auto"/>
          </w:divBdr>
          <w:divsChild>
            <w:div w:id="220799679">
              <w:marLeft w:val="0"/>
              <w:marRight w:val="0"/>
              <w:marTop w:val="0"/>
              <w:marBottom w:val="0"/>
              <w:divBdr>
                <w:top w:val="none" w:sz="0" w:space="0" w:color="auto"/>
                <w:left w:val="none" w:sz="0" w:space="0" w:color="auto"/>
                <w:bottom w:val="none" w:sz="0" w:space="0" w:color="auto"/>
                <w:right w:val="none" w:sz="0" w:space="0" w:color="auto"/>
              </w:divBdr>
            </w:div>
          </w:divsChild>
        </w:div>
        <w:div w:id="200869767">
          <w:marLeft w:val="0"/>
          <w:marRight w:val="0"/>
          <w:marTop w:val="0"/>
          <w:marBottom w:val="0"/>
          <w:divBdr>
            <w:top w:val="none" w:sz="0" w:space="0" w:color="auto"/>
            <w:left w:val="none" w:sz="0" w:space="0" w:color="auto"/>
            <w:bottom w:val="none" w:sz="0" w:space="0" w:color="auto"/>
            <w:right w:val="none" w:sz="0" w:space="0" w:color="auto"/>
          </w:divBdr>
          <w:divsChild>
            <w:div w:id="1824615679">
              <w:marLeft w:val="0"/>
              <w:marRight w:val="0"/>
              <w:marTop w:val="0"/>
              <w:marBottom w:val="0"/>
              <w:divBdr>
                <w:top w:val="none" w:sz="0" w:space="0" w:color="auto"/>
                <w:left w:val="none" w:sz="0" w:space="0" w:color="auto"/>
                <w:bottom w:val="none" w:sz="0" w:space="0" w:color="auto"/>
                <w:right w:val="none" w:sz="0" w:space="0" w:color="auto"/>
              </w:divBdr>
            </w:div>
          </w:divsChild>
        </w:div>
        <w:div w:id="277568535">
          <w:marLeft w:val="0"/>
          <w:marRight w:val="0"/>
          <w:marTop w:val="0"/>
          <w:marBottom w:val="0"/>
          <w:divBdr>
            <w:top w:val="none" w:sz="0" w:space="0" w:color="auto"/>
            <w:left w:val="none" w:sz="0" w:space="0" w:color="auto"/>
            <w:bottom w:val="none" w:sz="0" w:space="0" w:color="auto"/>
            <w:right w:val="none" w:sz="0" w:space="0" w:color="auto"/>
          </w:divBdr>
          <w:divsChild>
            <w:div w:id="437070401">
              <w:marLeft w:val="0"/>
              <w:marRight w:val="0"/>
              <w:marTop w:val="0"/>
              <w:marBottom w:val="0"/>
              <w:divBdr>
                <w:top w:val="none" w:sz="0" w:space="0" w:color="auto"/>
                <w:left w:val="none" w:sz="0" w:space="0" w:color="auto"/>
                <w:bottom w:val="none" w:sz="0" w:space="0" w:color="auto"/>
                <w:right w:val="none" w:sz="0" w:space="0" w:color="auto"/>
              </w:divBdr>
            </w:div>
          </w:divsChild>
        </w:div>
        <w:div w:id="312102145">
          <w:marLeft w:val="0"/>
          <w:marRight w:val="0"/>
          <w:marTop w:val="0"/>
          <w:marBottom w:val="0"/>
          <w:divBdr>
            <w:top w:val="none" w:sz="0" w:space="0" w:color="auto"/>
            <w:left w:val="none" w:sz="0" w:space="0" w:color="auto"/>
            <w:bottom w:val="none" w:sz="0" w:space="0" w:color="auto"/>
            <w:right w:val="none" w:sz="0" w:space="0" w:color="auto"/>
          </w:divBdr>
          <w:divsChild>
            <w:div w:id="1498690007">
              <w:marLeft w:val="0"/>
              <w:marRight w:val="0"/>
              <w:marTop w:val="0"/>
              <w:marBottom w:val="0"/>
              <w:divBdr>
                <w:top w:val="none" w:sz="0" w:space="0" w:color="auto"/>
                <w:left w:val="none" w:sz="0" w:space="0" w:color="auto"/>
                <w:bottom w:val="none" w:sz="0" w:space="0" w:color="auto"/>
                <w:right w:val="none" w:sz="0" w:space="0" w:color="auto"/>
              </w:divBdr>
            </w:div>
          </w:divsChild>
        </w:div>
        <w:div w:id="345791370">
          <w:marLeft w:val="0"/>
          <w:marRight w:val="0"/>
          <w:marTop w:val="0"/>
          <w:marBottom w:val="0"/>
          <w:divBdr>
            <w:top w:val="none" w:sz="0" w:space="0" w:color="auto"/>
            <w:left w:val="none" w:sz="0" w:space="0" w:color="auto"/>
            <w:bottom w:val="none" w:sz="0" w:space="0" w:color="auto"/>
            <w:right w:val="none" w:sz="0" w:space="0" w:color="auto"/>
          </w:divBdr>
          <w:divsChild>
            <w:div w:id="872350945">
              <w:marLeft w:val="0"/>
              <w:marRight w:val="0"/>
              <w:marTop w:val="0"/>
              <w:marBottom w:val="0"/>
              <w:divBdr>
                <w:top w:val="none" w:sz="0" w:space="0" w:color="auto"/>
                <w:left w:val="none" w:sz="0" w:space="0" w:color="auto"/>
                <w:bottom w:val="none" w:sz="0" w:space="0" w:color="auto"/>
                <w:right w:val="none" w:sz="0" w:space="0" w:color="auto"/>
              </w:divBdr>
            </w:div>
            <w:div w:id="903299537">
              <w:marLeft w:val="0"/>
              <w:marRight w:val="0"/>
              <w:marTop w:val="0"/>
              <w:marBottom w:val="0"/>
              <w:divBdr>
                <w:top w:val="none" w:sz="0" w:space="0" w:color="auto"/>
                <w:left w:val="none" w:sz="0" w:space="0" w:color="auto"/>
                <w:bottom w:val="none" w:sz="0" w:space="0" w:color="auto"/>
                <w:right w:val="none" w:sz="0" w:space="0" w:color="auto"/>
              </w:divBdr>
            </w:div>
          </w:divsChild>
        </w:div>
        <w:div w:id="431629963">
          <w:marLeft w:val="0"/>
          <w:marRight w:val="0"/>
          <w:marTop w:val="0"/>
          <w:marBottom w:val="0"/>
          <w:divBdr>
            <w:top w:val="none" w:sz="0" w:space="0" w:color="auto"/>
            <w:left w:val="none" w:sz="0" w:space="0" w:color="auto"/>
            <w:bottom w:val="none" w:sz="0" w:space="0" w:color="auto"/>
            <w:right w:val="none" w:sz="0" w:space="0" w:color="auto"/>
          </w:divBdr>
          <w:divsChild>
            <w:div w:id="535969233">
              <w:marLeft w:val="0"/>
              <w:marRight w:val="0"/>
              <w:marTop w:val="0"/>
              <w:marBottom w:val="0"/>
              <w:divBdr>
                <w:top w:val="none" w:sz="0" w:space="0" w:color="auto"/>
                <w:left w:val="none" w:sz="0" w:space="0" w:color="auto"/>
                <w:bottom w:val="none" w:sz="0" w:space="0" w:color="auto"/>
                <w:right w:val="none" w:sz="0" w:space="0" w:color="auto"/>
              </w:divBdr>
            </w:div>
            <w:div w:id="1383867038">
              <w:marLeft w:val="0"/>
              <w:marRight w:val="0"/>
              <w:marTop w:val="0"/>
              <w:marBottom w:val="0"/>
              <w:divBdr>
                <w:top w:val="none" w:sz="0" w:space="0" w:color="auto"/>
                <w:left w:val="none" w:sz="0" w:space="0" w:color="auto"/>
                <w:bottom w:val="none" w:sz="0" w:space="0" w:color="auto"/>
                <w:right w:val="none" w:sz="0" w:space="0" w:color="auto"/>
              </w:divBdr>
            </w:div>
          </w:divsChild>
        </w:div>
        <w:div w:id="677460916">
          <w:marLeft w:val="0"/>
          <w:marRight w:val="0"/>
          <w:marTop w:val="0"/>
          <w:marBottom w:val="0"/>
          <w:divBdr>
            <w:top w:val="none" w:sz="0" w:space="0" w:color="auto"/>
            <w:left w:val="none" w:sz="0" w:space="0" w:color="auto"/>
            <w:bottom w:val="none" w:sz="0" w:space="0" w:color="auto"/>
            <w:right w:val="none" w:sz="0" w:space="0" w:color="auto"/>
          </w:divBdr>
          <w:divsChild>
            <w:div w:id="198325136">
              <w:marLeft w:val="0"/>
              <w:marRight w:val="0"/>
              <w:marTop w:val="0"/>
              <w:marBottom w:val="0"/>
              <w:divBdr>
                <w:top w:val="none" w:sz="0" w:space="0" w:color="auto"/>
                <w:left w:val="none" w:sz="0" w:space="0" w:color="auto"/>
                <w:bottom w:val="none" w:sz="0" w:space="0" w:color="auto"/>
                <w:right w:val="none" w:sz="0" w:space="0" w:color="auto"/>
              </w:divBdr>
            </w:div>
          </w:divsChild>
        </w:div>
        <w:div w:id="707144887">
          <w:marLeft w:val="0"/>
          <w:marRight w:val="0"/>
          <w:marTop w:val="0"/>
          <w:marBottom w:val="0"/>
          <w:divBdr>
            <w:top w:val="none" w:sz="0" w:space="0" w:color="auto"/>
            <w:left w:val="none" w:sz="0" w:space="0" w:color="auto"/>
            <w:bottom w:val="none" w:sz="0" w:space="0" w:color="auto"/>
            <w:right w:val="none" w:sz="0" w:space="0" w:color="auto"/>
          </w:divBdr>
          <w:divsChild>
            <w:div w:id="2137866129">
              <w:marLeft w:val="0"/>
              <w:marRight w:val="0"/>
              <w:marTop w:val="0"/>
              <w:marBottom w:val="0"/>
              <w:divBdr>
                <w:top w:val="none" w:sz="0" w:space="0" w:color="auto"/>
                <w:left w:val="none" w:sz="0" w:space="0" w:color="auto"/>
                <w:bottom w:val="none" w:sz="0" w:space="0" w:color="auto"/>
                <w:right w:val="none" w:sz="0" w:space="0" w:color="auto"/>
              </w:divBdr>
            </w:div>
          </w:divsChild>
        </w:div>
        <w:div w:id="727146906">
          <w:marLeft w:val="0"/>
          <w:marRight w:val="0"/>
          <w:marTop w:val="0"/>
          <w:marBottom w:val="0"/>
          <w:divBdr>
            <w:top w:val="none" w:sz="0" w:space="0" w:color="auto"/>
            <w:left w:val="none" w:sz="0" w:space="0" w:color="auto"/>
            <w:bottom w:val="none" w:sz="0" w:space="0" w:color="auto"/>
            <w:right w:val="none" w:sz="0" w:space="0" w:color="auto"/>
          </w:divBdr>
          <w:divsChild>
            <w:div w:id="1605649364">
              <w:marLeft w:val="0"/>
              <w:marRight w:val="0"/>
              <w:marTop w:val="0"/>
              <w:marBottom w:val="0"/>
              <w:divBdr>
                <w:top w:val="none" w:sz="0" w:space="0" w:color="auto"/>
                <w:left w:val="none" w:sz="0" w:space="0" w:color="auto"/>
                <w:bottom w:val="none" w:sz="0" w:space="0" w:color="auto"/>
                <w:right w:val="none" w:sz="0" w:space="0" w:color="auto"/>
              </w:divBdr>
            </w:div>
            <w:div w:id="1957566585">
              <w:marLeft w:val="0"/>
              <w:marRight w:val="0"/>
              <w:marTop w:val="0"/>
              <w:marBottom w:val="0"/>
              <w:divBdr>
                <w:top w:val="none" w:sz="0" w:space="0" w:color="auto"/>
                <w:left w:val="none" w:sz="0" w:space="0" w:color="auto"/>
                <w:bottom w:val="none" w:sz="0" w:space="0" w:color="auto"/>
                <w:right w:val="none" w:sz="0" w:space="0" w:color="auto"/>
              </w:divBdr>
            </w:div>
          </w:divsChild>
        </w:div>
        <w:div w:id="782305390">
          <w:marLeft w:val="0"/>
          <w:marRight w:val="0"/>
          <w:marTop w:val="0"/>
          <w:marBottom w:val="0"/>
          <w:divBdr>
            <w:top w:val="none" w:sz="0" w:space="0" w:color="auto"/>
            <w:left w:val="none" w:sz="0" w:space="0" w:color="auto"/>
            <w:bottom w:val="none" w:sz="0" w:space="0" w:color="auto"/>
            <w:right w:val="none" w:sz="0" w:space="0" w:color="auto"/>
          </w:divBdr>
          <w:divsChild>
            <w:div w:id="135536210">
              <w:marLeft w:val="0"/>
              <w:marRight w:val="0"/>
              <w:marTop w:val="0"/>
              <w:marBottom w:val="0"/>
              <w:divBdr>
                <w:top w:val="none" w:sz="0" w:space="0" w:color="auto"/>
                <w:left w:val="none" w:sz="0" w:space="0" w:color="auto"/>
                <w:bottom w:val="none" w:sz="0" w:space="0" w:color="auto"/>
                <w:right w:val="none" w:sz="0" w:space="0" w:color="auto"/>
              </w:divBdr>
            </w:div>
          </w:divsChild>
        </w:div>
        <w:div w:id="855268974">
          <w:marLeft w:val="0"/>
          <w:marRight w:val="0"/>
          <w:marTop w:val="0"/>
          <w:marBottom w:val="0"/>
          <w:divBdr>
            <w:top w:val="none" w:sz="0" w:space="0" w:color="auto"/>
            <w:left w:val="none" w:sz="0" w:space="0" w:color="auto"/>
            <w:bottom w:val="none" w:sz="0" w:space="0" w:color="auto"/>
            <w:right w:val="none" w:sz="0" w:space="0" w:color="auto"/>
          </w:divBdr>
          <w:divsChild>
            <w:div w:id="836456902">
              <w:marLeft w:val="0"/>
              <w:marRight w:val="0"/>
              <w:marTop w:val="0"/>
              <w:marBottom w:val="0"/>
              <w:divBdr>
                <w:top w:val="none" w:sz="0" w:space="0" w:color="auto"/>
                <w:left w:val="none" w:sz="0" w:space="0" w:color="auto"/>
                <w:bottom w:val="none" w:sz="0" w:space="0" w:color="auto"/>
                <w:right w:val="none" w:sz="0" w:space="0" w:color="auto"/>
              </w:divBdr>
            </w:div>
          </w:divsChild>
        </w:div>
        <w:div w:id="1063673405">
          <w:marLeft w:val="0"/>
          <w:marRight w:val="0"/>
          <w:marTop w:val="0"/>
          <w:marBottom w:val="0"/>
          <w:divBdr>
            <w:top w:val="none" w:sz="0" w:space="0" w:color="auto"/>
            <w:left w:val="none" w:sz="0" w:space="0" w:color="auto"/>
            <w:bottom w:val="none" w:sz="0" w:space="0" w:color="auto"/>
            <w:right w:val="none" w:sz="0" w:space="0" w:color="auto"/>
          </w:divBdr>
          <w:divsChild>
            <w:div w:id="145165418">
              <w:marLeft w:val="0"/>
              <w:marRight w:val="0"/>
              <w:marTop w:val="0"/>
              <w:marBottom w:val="0"/>
              <w:divBdr>
                <w:top w:val="none" w:sz="0" w:space="0" w:color="auto"/>
                <w:left w:val="none" w:sz="0" w:space="0" w:color="auto"/>
                <w:bottom w:val="none" w:sz="0" w:space="0" w:color="auto"/>
                <w:right w:val="none" w:sz="0" w:space="0" w:color="auto"/>
              </w:divBdr>
            </w:div>
          </w:divsChild>
        </w:div>
        <w:div w:id="1068846237">
          <w:marLeft w:val="0"/>
          <w:marRight w:val="0"/>
          <w:marTop w:val="0"/>
          <w:marBottom w:val="0"/>
          <w:divBdr>
            <w:top w:val="none" w:sz="0" w:space="0" w:color="auto"/>
            <w:left w:val="none" w:sz="0" w:space="0" w:color="auto"/>
            <w:bottom w:val="none" w:sz="0" w:space="0" w:color="auto"/>
            <w:right w:val="none" w:sz="0" w:space="0" w:color="auto"/>
          </w:divBdr>
          <w:divsChild>
            <w:div w:id="548759010">
              <w:marLeft w:val="0"/>
              <w:marRight w:val="0"/>
              <w:marTop w:val="0"/>
              <w:marBottom w:val="0"/>
              <w:divBdr>
                <w:top w:val="none" w:sz="0" w:space="0" w:color="auto"/>
                <w:left w:val="none" w:sz="0" w:space="0" w:color="auto"/>
                <w:bottom w:val="none" w:sz="0" w:space="0" w:color="auto"/>
                <w:right w:val="none" w:sz="0" w:space="0" w:color="auto"/>
              </w:divBdr>
            </w:div>
          </w:divsChild>
        </w:div>
        <w:div w:id="1123037063">
          <w:marLeft w:val="0"/>
          <w:marRight w:val="0"/>
          <w:marTop w:val="0"/>
          <w:marBottom w:val="0"/>
          <w:divBdr>
            <w:top w:val="none" w:sz="0" w:space="0" w:color="auto"/>
            <w:left w:val="none" w:sz="0" w:space="0" w:color="auto"/>
            <w:bottom w:val="none" w:sz="0" w:space="0" w:color="auto"/>
            <w:right w:val="none" w:sz="0" w:space="0" w:color="auto"/>
          </w:divBdr>
          <w:divsChild>
            <w:div w:id="1629631363">
              <w:marLeft w:val="0"/>
              <w:marRight w:val="0"/>
              <w:marTop w:val="0"/>
              <w:marBottom w:val="0"/>
              <w:divBdr>
                <w:top w:val="none" w:sz="0" w:space="0" w:color="auto"/>
                <w:left w:val="none" w:sz="0" w:space="0" w:color="auto"/>
                <w:bottom w:val="none" w:sz="0" w:space="0" w:color="auto"/>
                <w:right w:val="none" w:sz="0" w:space="0" w:color="auto"/>
              </w:divBdr>
            </w:div>
          </w:divsChild>
        </w:div>
        <w:div w:id="1144617222">
          <w:marLeft w:val="0"/>
          <w:marRight w:val="0"/>
          <w:marTop w:val="0"/>
          <w:marBottom w:val="0"/>
          <w:divBdr>
            <w:top w:val="none" w:sz="0" w:space="0" w:color="auto"/>
            <w:left w:val="none" w:sz="0" w:space="0" w:color="auto"/>
            <w:bottom w:val="none" w:sz="0" w:space="0" w:color="auto"/>
            <w:right w:val="none" w:sz="0" w:space="0" w:color="auto"/>
          </w:divBdr>
          <w:divsChild>
            <w:div w:id="1781948007">
              <w:marLeft w:val="0"/>
              <w:marRight w:val="0"/>
              <w:marTop w:val="0"/>
              <w:marBottom w:val="0"/>
              <w:divBdr>
                <w:top w:val="none" w:sz="0" w:space="0" w:color="auto"/>
                <w:left w:val="none" w:sz="0" w:space="0" w:color="auto"/>
                <w:bottom w:val="none" w:sz="0" w:space="0" w:color="auto"/>
                <w:right w:val="none" w:sz="0" w:space="0" w:color="auto"/>
              </w:divBdr>
            </w:div>
          </w:divsChild>
        </w:div>
        <w:div w:id="1182545858">
          <w:marLeft w:val="0"/>
          <w:marRight w:val="0"/>
          <w:marTop w:val="0"/>
          <w:marBottom w:val="0"/>
          <w:divBdr>
            <w:top w:val="none" w:sz="0" w:space="0" w:color="auto"/>
            <w:left w:val="none" w:sz="0" w:space="0" w:color="auto"/>
            <w:bottom w:val="none" w:sz="0" w:space="0" w:color="auto"/>
            <w:right w:val="none" w:sz="0" w:space="0" w:color="auto"/>
          </w:divBdr>
          <w:divsChild>
            <w:div w:id="752167944">
              <w:marLeft w:val="0"/>
              <w:marRight w:val="0"/>
              <w:marTop w:val="0"/>
              <w:marBottom w:val="0"/>
              <w:divBdr>
                <w:top w:val="none" w:sz="0" w:space="0" w:color="auto"/>
                <w:left w:val="none" w:sz="0" w:space="0" w:color="auto"/>
                <w:bottom w:val="none" w:sz="0" w:space="0" w:color="auto"/>
                <w:right w:val="none" w:sz="0" w:space="0" w:color="auto"/>
              </w:divBdr>
            </w:div>
          </w:divsChild>
        </w:div>
        <w:div w:id="1232888627">
          <w:marLeft w:val="0"/>
          <w:marRight w:val="0"/>
          <w:marTop w:val="0"/>
          <w:marBottom w:val="0"/>
          <w:divBdr>
            <w:top w:val="none" w:sz="0" w:space="0" w:color="auto"/>
            <w:left w:val="none" w:sz="0" w:space="0" w:color="auto"/>
            <w:bottom w:val="none" w:sz="0" w:space="0" w:color="auto"/>
            <w:right w:val="none" w:sz="0" w:space="0" w:color="auto"/>
          </w:divBdr>
          <w:divsChild>
            <w:div w:id="1657949938">
              <w:marLeft w:val="0"/>
              <w:marRight w:val="0"/>
              <w:marTop w:val="0"/>
              <w:marBottom w:val="0"/>
              <w:divBdr>
                <w:top w:val="none" w:sz="0" w:space="0" w:color="auto"/>
                <w:left w:val="none" w:sz="0" w:space="0" w:color="auto"/>
                <w:bottom w:val="none" w:sz="0" w:space="0" w:color="auto"/>
                <w:right w:val="none" w:sz="0" w:space="0" w:color="auto"/>
              </w:divBdr>
            </w:div>
          </w:divsChild>
        </w:div>
        <w:div w:id="1247613274">
          <w:marLeft w:val="0"/>
          <w:marRight w:val="0"/>
          <w:marTop w:val="0"/>
          <w:marBottom w:val="0"/>
          <w:divBdr>
            <w:top w:val="none" w:sz="0" w:space="0" w:color="auto"/>
            <w:left w:val="none" w:sz="0" w:space="0" w:color="auto"/>
            <w:bottom w:val="none" w:sz="0" w:space="0" w:color="auto"/>
            <w:right w:val="none" w:sz="0" w:space="0" w:color="auto"/>
          </w:divBdr>
          <w:divsChild>
            <w:div w:id="213469461">
              <w:marLeft w:val="0"/>
              <w:marRight w:val="0"/>
              <w:marTop w:val="0"/>
              <w:marBottom w:val="0"/>
              <w:divBdr>
                <w:top w:val="none" w:sz="0" w:space="0" w:color="auto"/>
                <w:left w:val="none" w:sz="0" w:space="0" w:color="auto"/>
                <w:bottom w:val="none" w:sz="0" w:space="0" w:color="auto"/>
                <w:right w:val="none" w:sz="0" w:space="0" w:color="auto"/>
              </w:divBdr>
            </w:div>
          </w:divsChild>
        </w:div>
        <w:div w:id="1261573072">
          <w:marLeft w:val="0"/>
          <w:marRight w:val="0"/>
          <w:marTop w:val="0"/>
          <w:marBottom w:val="0"/>
          <w:divBdr>
            <w:top w:val="none" w:sz="0" w:space="0" w:color="auto"/>
            <w:left w:val="none" w:sz="0" w:space="0" w:color="auto"/>
            <w:bottom w:val="none" w:sz="0" w:space="0" w:color="auto"/>
            <w:right w:val="none" w:sz="0" w:space="0" w:color="auto"/>
          </w:divBdr>
          <w:divsChild>
            <w:div w:id="933824591">
              <w:marLeft w:val="0"/>
              <w:marRight w:val="0"/>
              <w:marTop w:val="0"/>
              <w:marBottom w:val="0"/>
              <w:divBdr>
                <w:top w:val="none" w:sz="0" w:space="0" w:color="auto"/>
                <w:left w:val="none" w:sz="0" w:space="0" w:color="auto"/>
                <w:bottom w:val="none" w:sz="0" w:space="0" w:color="auto"/>
                <w:right w:val="none" w:sz="0" w:space="0" w:color="auto"/>
              </w:divBdr>
            </w:div>
          </w:divsChild>
        </w:div>
        <w:div w:id="1320309806">
          <w:marLeft w:val="0"/>
          <w:marRight w:val="0"/>
          <w:marTop w:val="0"/>
          <w:marBottom w:val="0"/>
          <w:divBdr>
            <w:top w:val="none" w:sz="0" w:space="0" w:color="auto"/>
            <w:left w:val="none" w:sz="0" w:space="0" w:color="auto"/>
            <w:bottom w:val="none" w:sz="0" w:space="0" w:color="auto"/>
            <w:right w:val="none" w:sz="0" w:space="0" w:color="auto"/>
          </w:divBdr>
          <w:divsChild>
            <w:div w:id="926230349">
              <w:marLeft w:val="0"/>
              <w:marRight w:val="0"/>
              <w:marTop w:val="0"/>
              <w:marBottom w:val="0"/>
              <w:divBdr>
                <w:top w:val="none" w:sz="0" w:space="0" w:color="auto"/>
                <w:left w:val="none" w:sz="0" w:space="0" w:color="auto"/>
                <w:bottom w:val="none" w:sz="0" w:space="0" w:color="auto"/>
                <w:right w:val="none" w:sz="0" w:space="0" w:color="auto"/>
              </w:divBdr>
            </w:div>
          </w:divsChild>
        </w:div>
        <w:div w:id="1494377183">
          <w:marLeft w:val="0"/>
          <w:marRight w:val="0"/>
          <w:marTop w:val="0"/>
          <w:marBottom w:val="0"/>
          <w:divBdr>
            <w:top w:val="none" w:sz="0" w:space="0" w:color="auto"/>
            <w:left w:val="none" w:sz="0" w:space="0" w:color="auto"/>
            <w:bottom w:val="none" w:sz="0" w:space="0" w:color="auto"/>
            <w:right w:val="none" w:sz="0" w:space="0" w:color="auto"/>
          </w:divBdr>
          <w:divsChild>
            <w:div w:id="2003311807">
              <w:marLeft w:val="0"/>
              <w:marRight w:val="0"/>
              <w:marTop w:val="0"/>
              <w:marBottom w:val="0"/>
              <w:divBdr>
                <w:top w:val="none" w:sz="0" w:space="0" w:color="auto"/>
                <w:left w:val="none" w:sz="0" w:space="0" w:color="auto"/>
                <w:bottom w:val="none" w:sz="0" w:space="0" w:color="auto"/>
                <w:right w:val="none" w:sz="0" w:space="0" w:color="auto"/>
              </w:divBdr>
            </w:div>
          </w:divsChild>
        </w:div>
        <w:div w:id="1638802691">
          <w:marLeft w:val="0"/>
          <w:marRight w:val="0"/>
          <w:marTop w:val="0"/>
          <w:marBottom w:val="0"/>
          <w:divBdr>
            <w:top w:val="none" w:sz="0" w:space="0" w:color="auto"/>
            <w:left w:val="none" w:sz="0" w:space="0" w:color="auto"/>
            <w:bottom w:val="none" w:sz="0" w:space="0" w:color="auto"/>
            <w:right w:val="none" w:sz="0" w:space="0" w:color="auto"/>
          </w:divBdr>
          <w:divsChild>
            <w:div w:id="287859234">
              <w:marLeft w:val="0"/>
              <w:marRight w:val="0"/>
              <w:marTop w:val="0"/>
              <w:marBottom w:val="0"/>
              <w:divBdr>
                <w:top w:val="none" w:sz="0" w:space="0" w:color="auto"/>
                <w:left w:val="none" w:sz="0" w:space="0" w:color="auto"/>
                <w:bottom w:val="none" w:sz="0" w:space="0" w:color="auto"/>
                <w:right w:val="none" w:sz="0" w:space="0" w:color="auto"/>
              </w:divBdr>
            </w:div>
          </w:divsChild>
        </w:div>
        <w:div w:id="1757628036">
          <w:marLeft w:val="0"/>
          <w:marRight w:val="0"/>
          <w:marTop w:val="0"/>
          <w:marBottom w:val="0"/>
          <w:divBdr>
            <w:top w:val="none" w:sz="0" w:space="0" w:color="auto"/>
            <w:left w:val="none" w:sz="0" w:space="0" w:color="auto"/>
            <w:bottom w:val="none" w:sz="0" w:space="0" w:color="auto"/>
            <w:right w:val="none" w:sz="0" w:space="0" w:color="auto"/>
          </w:divBdr>
          <w:divsChild>
            <w:div w:id="385447376">
              <w:marLeft w:val="0"/>
              <w:marRight w:val="0"/>
              <w:marTop w:val="0"/>
              <w:marBottom w:val="0"/>
              <w:divBdr>
                <w:top w:val="none" w:sz="0" w:space="0" w:color="auto"/>
                <w:left w:val="none" w:sz="0" w:space="0" w:color="auto"/>
                <w:bottom w:val="none" w:sz="0" w:space="0" w:color="auto"/>
                <w:right w:val="none" w:sz="0" w:space="0" w:color="auto"/>
              </w:divBdr>
            </w:div>
          </w:divsChild>
        </w:div>
        <w:div w:id="1776316898">
          <w:marLeft w:val="0"/>
          <w:marRight w:val="0"/>
          <w:marTop w:val="0"/>
          <w:marBottom w:val="0"/>
          <w:divBdr>
            <w:top w:val="none" w:sz="0" w:space="0" w:color="auto"/>
            <w:left w:val="none" w:sz="0" w:space="0" w:color="auto"/>
            <w:bottom w:val="none" w:sz="0" w:space="0" w:color="auto"/>
            <w:right w:val="none" w:sz="0" w:space="0" w:color="auto"/>
          </w:divBdr>
          <w:divsChild>
            <w:div w:id="909074795">
              <w:marLeft w:val="0"/>
              <w:marRight w:val="0"/>
              <w:marTop w:val="0"/>
              <w:marBottom w:val="0"/>
              <w:divBdr>
                <w:top w:val="none" w:sz="0" w:space="0" w:color="auto"/>
                <w:left w:val="none" w:sz="0" w:space="0" w:color="auto"/>
                <w:bottom w:val="none" w:sz="0" w:space="0" w:color="auto"/>
                <w:right w:val="none" w:sz="0" w:space="0" w:color="auto"/>
              </w:divBdr>
            </w:div>
          </w:divsChild>
        </w:div>
        <w:div w:id="1931157347">
          <w:marLeft w:val="0"/>
          <w:marRight w:val="0"/>
          <w:marTop w:val="0"/>
          <w:marBottom w:val="0"/>
          <w:divBdr>
            <w:top w:val="none" w:sz="0" w:space="0" w:color="auto"/>
            <w:left w:val="none" w:sz="0" w:space="0" w:color="auto"/>
            <w:bottom w:val="none" w:sz="0" w:space="0" w:color="auto"/>
            <w:right w:val="none" w:sz="0" w:space="0" w:color="auto"/>
          </w:divBdr>
          <w:divsChild>
            <w:div w:id="1594046981">
              <w:marLeft w:val="0"/>
              <w:marRight w:val="0"/>
              <w:marTop w:val="0"/>
              <w:marBottom w:val="0"/>
              <w:divBdr>
                <w:top w:val="none" w:sz="0" w:space="0" w:color="auto"/>
                <w:left w:val="none" w:sz="0" w:space="0" w:color="auto"/>
                <w:bottom w:val="none" w:sz="0" w:space="0" w:color="auto"/>
                <w:right w:val="none" w:sz="0" w:space="0" w:color="auto"/>
              </w:divBdr>
            </w:div>
          </w:divsChild>
        </w:div>
        <w:div w:id="1993026753">
          <w:marLeft w:val="0"/>
          <w:marRight w:val="0"/>
          <w:marTop w:val="0"/>
          <w:marBottom w:val="0"/>
          <w:divBdr>
            <w:top w:val="none" w:sz="0" w:space="0" w:color="auto"/>
            <w:left w:val="none" w:sz="0" w:space="0" w:color="auto"/>
            <w:bottom w:val="none" w:sz="0" w:space="0" w:color="auto"/>
            <w:right w:val="none" w:sz="0" w:space="0" w:color="auto"/>
          </w:divBdr>
          <w:divsChild>
            <w:div w:id="193857221">
              <w:marLeft w:val="0"/>
              <w:marRight w:val="0"/>
              <w:marTop w:val="0"/>
              <w:marBottom w:val="0"/>
              <w:divBdr>
                <w:top w:val="none" w:sz="0" w:space="0" w:color="auto"/>
                <w:left w:val="none" w:sz="0" w:space="0" w:color="auto"/>
                <w:bottom w:val="none" w:sz="0" w:space="0" w:color="auto"/>
                <w:right w:val="none" w:sz="0" w:space="0" w:color="auto"/>
              </w:divBdr>
            </w:div>
            <w:div w:id="846216076">
              <w:marLeft w:val="0"/>
              <w:marRight w:val="0"/>
              <w:marTop w:val="0"/>
              <w:marBottom w:val="0"/>
              <w:divBdr>
                <w:top w:val="none" w:sz="0" w:space="0" w:color="auto"/>
                <w:left w:val="none" w:sz="0" w:space="0" w:color="auto"/>
                <w:bottom w:val="none" w:sz="0" w:space="0" w:color="auto"/>
                <w:right w:val="none" w:sz="0" w:space="0" w:color="auto"/>
              </w:divBdr>
            </w:div>
          </w:divsChild>
        </w:div>
        <w:div w:id="2063557275">
          <w:marLeft w:val="0"/>
          <w:marRight w:val="0"/>
          <w:marTop w:val="0"/>
          <w:marBottom w:val="0"/>
          <w:divBdr>
            <w:top w:val="none" w:sz="0" w:space="0" w:color="auto"/>
            <w:left w:val="none" w:sz="0" w:space="0" w:color="auto"/>
            <w:bottom w:val="none" w:sz="0" w:space="0" w:color="auto"/>
            <w:right w:val="none" w:sz="0" w:space="0" w:color="auto"/>
          </w:divBdr>
          <w:divsChild>
            <w:div w:id="906961165">
              <w:marLeft w:val="0"/>
              <w:marRight w:val="0"/>
              <w:marTop w:val="0"/>
              <w:marBottom w:val="0"/>
              <w:divBdr>
                <w:top w:val="none" w:sz="0" w:space="0" w:color="auto"/>
                <w:left w:val="none" w:sz="0" w:space="0" w:color="auto"/>
                <w:bottom w:val="none" w:sz="0" w:space="0" w:color="auto"/>
                <w:right w:val="none" w:sz="0" w:space="0" w:color="auto"/>
              </w:divBdr>
            </w:div>
          </w:divsChild>
        </w:div>
        <w:div w:id="2067100937">
          <w:marLeft w:val="0"/>
          <w:marRight w:val="0"/>
          <w:marTop w:val="0"/>
          <w:marBottom w:val="0"/>
          <w:divBdr>
            <w:top w:val="none" w:sz="0" w:space="0" w:color="auto"/>
            <w:left w:val="none" w:sz="0" w:space="0" w:color="auto"/>
            <w:bottom w:val="none" w:sz="0" w:space="0" w:color="auto"/>
            <w:right w:val="none" w:sz="0" w:space="0" w:color="auto"/>
          </w:divBdr>
          <w:divsChild>
            <w:div w:id="1421101091">
              <w:marLeft w:val="0"/>
              <w:marRight w:val="0"/>
              <w:marTop w:val="0"/>
              <w:marBottom w:val="0"/>
              <w:divBdr>
                <w:top w:val="none" w:sz="0" w:space="0" w:color="auto"/>
                <w:left w:val="none" w:sz="0" w:space="0" w:color="auto"/>
                <w:bottom w:val="none" w:sz="0" w:space="0" w:color="auto"/>
                <w:right w:val="none" w:sz="0" w:space="0" w:color="auto"/>
              </w:divBdr>
            </w:div>
          </w:divsChild>
        </w:div>
        <w:div w:id="2075077972">
          <w:marLeft w:val="0"/>
          <w:marRight w:val="0"/>
          <w:marTop w:val="0"/>
          <w:marBottom w:val="0"/>
          <w:divBdr>
            <w:top w:val="none" w:sz="0" w:space="0" w:color="auto"/>
            <w:left w:val="none" w:sz="0" w:space="0" w:color="auto"/>
            <w:bottom w:val="none" w:sz="0" w:space="0" w:color="auto"/>
            <w:right w:val="none" w:sz="0" w:space="0" w:color="auto"/>
          </w:divBdr>
          <w:divsChild>
            <w:div w:id="1250499482">
              <w:marLeft w:val="0"/>
              <w:marRight w:val="0"/>
              <w:marTop w:val="0"/>
              <w:marBottom w:val="0"/>
              <w:divBdr>
                <w:top w:val="none" w:sz="0" w:space="0" w:color="auto"/>
                <w:left w:val="none" w:sz="0" w:space="0" w:color="auto"/>
                <w:bottom w:val="none" w:sz="0" w:space="0" w:color="auto"/>
                <w:right w:val="none" w:sz="0" w:space="0" w:color="auto"/>
              </w:divBdr>
            </w:div>
            <w:div w:id="185082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802371">
      <w:bodyDiv w:val="1"/>
      <w:marLeft w:val="0"/>
      <w:marRight w:val="0"/>
      <w:marTop w:val="0"/>
      <w:marBottom w:val="0"/>
      <w:divBdr>
        <w:top w:val="none" w:sz="0" w:space="0" w:color="auto"/>
        <w:left w:val="none" w:sz="0" w:space="0" w:color="auto"/>
        <w:bottom w:val="none" w:sz="0" w:space="0" w:color="auto"/>
        <w:right w:val="none" w:sz="0" w:space="0" w:color="auto"/>
      </w:divBdr>
      <w:divsChild>
        <w:div w:id="91050298">
          <w:marLeft w:val="0"/>
          <w:marRight w:val="0"/>
          <w:marTop w:val="0"/>
          <w:marBottom w:val="0"/>
          <w:divBdr>
            <w:top w:val="none" w:sz="0" w:space="0" w:color="auto"/>
            <w:left w:val="none" w:sz="0" w:space="0" w:color="auto"/>
            <w:bottom w:val="none" w:sz="0" w:space="0" w:color="auto"/>
            <w:right w:val="none" w:sz="0" w:space="0" w:color="auto"/>
          </w:divBdr>
        </w:div>
        <w:div w:id="193543971">
          <w:marLeft w:val="0"/>
          <w:marRight w:val="0"/>
          <w:marTop w:val="0"/>
          <w:marBottom w:val="0"/>
          <w:divBdr>
            <w:top w:val="none" w:sz="0" w:space="0" w:color="auto"/>
            <w:left w:val="none" w:sz="0" w:space="0" w:color="auto"/>
            <w:bottom w:val="none" w:sz="0" w:space="0" w:color="auto"/>
            <w:right w:val="none" w:sz="0" w:space="0" w:color="auto"/>
          </w:divBdr>
        </w:div>
        <w:div w:id="278951037">
          <w:marLeft w:val="0"/>
          <w:marRight w:val="0"/>
          <w:marTop w:val="0"/>
          <w:marBottom w:val="0"/>
          <w:divBdr>
            <w:top w:val="none" w:sz="0" w:space="0" w:color="auto"/>
            <w:left w:val="none" w:sz="0" w:space="0" w:color="auto"/>
            <w:bottom w:val="none" w:sz="0" w:space="0" w:color="auto"/>
            <w:right w:val="none" w:sz="0" w:space="0" w:color="auto"/>
          </w:divBdr>
        </w:div>
        <w:div w:id="307708569">
          <w:marLeft w:val="0"/>
          <w:marRight w:val="0"/>
          <w:marTop w:val="0"/>
          <w:marBottom w:val="0"/>
          <w:divBdr>
            <w:top w:val="none" w:sz="0" w:space="0" w:color="auto"/>
            <w:left w:val="none" w:sz="0" w:space="0" w:color="auto"/>
            <w:bottom w:val="none" w:sz="0" w:space="0" w:color="auto"/>
            <w:right w:val="none" w:sz="0" w:space="0" w:color="auto"/>
          </w:divBdr>
        </w:div>
        <w:div w:id="572275055">
          <w:marLeft w:val="0"/>
          <w:marRight w:val="0"/>
          <w:marTop w:val="0"/>
          <w:marBottom w:val="0"/>
          <w:divBdr>
            <w:top w:val="none" w:sz="0" w:space="0" w:color="auto"/>
            <w:left w:val="none" w:sz="0" w:space="0" w:color="auto"/>
            <w:bottom w:val="none" w:sz="0" w:space="0" w:color="auto"/>
            <w:right w:val="none" w:sz="0" w:space="0" w:color="auto"/>
          </w:divBdr>
          <w:divsChild>
            <w:div w:id="551813675">
              <w:marLeft w:val="0"/>
              <w:marRight w:val="0"/>
              <w:marTop w:val="0"/>
              <w:marBottom w:val="0"/>
              <w:divBdr>
                <w:top w:val="none" w:sz="0" w:space="0" w:color="auto"/>
                <w:left w:val="none" w:sz="0" w:space="0" w:color="auto"/>
                <w:bottom w:val="none" w:sz="0" w:space="0" w:color="auto"/>
                <w:right w:val="none" w:sz="0" w:space="0" w:color="auto"/>
              </w:divBdr>
            </w:div>
            <w:div w:id="1748067092">
              <w:marLeft w:val="0"/>
              <w:marRight w:val="0"/>
              <w:marTop w:val="0"/>
              <w:marBottom w:val="0"/>
              <w:divBdr>
                <w:top w:val="none" w:sz="0" w:space="0" w:color="auto"/>
                <w:left w:val="none" w:sz="0" w:space="0" w:color="auto"/>
                <w:bottom w:val="none" w:sz="0" w:space="0" w:color="auto"/>
                <w:right w:val="none" w:sz="0" w:space="0" w:color="auto"/>
              </w:divBdr>
            </w:div>
            <w:div w:id="1890337055">
              <w:marLeft w:val="0"/>
              <w:marRight w:val="0"/>
              <w:marTop w:val="0"/>
              <w:marBottom w:val="0"/>
              <w:divBdr>
                <w:top w:val="none" w:sz="0" w:space="0" w:color="auto"/>
                <w:left w:val="none" w:sz="0" w:space="0" w:color="auto"/>
                <w:bottom w:val="none" w:sz="0" w:space="0" w:color="auto"/>
                <w:right w:val="none" w:sz="0" w:space="0" w:color="auto"/>
              </w:divBdr>
            </w:div>
          </w:divsChild>
        </w:div>
        <w:div w:id="785656499">
          <w:marLeft w:val="0"/>
          <w:marRight w:val="0"/>
          <w:marTop w:val="0"/>
          <w:marBottom w:val="0"/>
          <w:divBdr>
            <w:top w:val="none" w:sz="0" w:space="0" w:color="auto"/>
            <w:left w:val="none" w:sz="0" w:space="0" w:color="auto"/>
            <w:bottom w:val="none" w:sz="0" w:space="0" w:color="auto"/>
            <w:right w:val="none" w:sz="0" w:space="0" w:color="auto"/>
          </w:divBdr>
        </w:div>
        <w:div w:id="848523181">
          <w:marLeft w:val="0"/>
          <w:marRight w:val="0"/>
          <w:marTop w:val="0"/>
          <w:marBottom w:val="0"/>
          <w:divBdr>
            <w:top w:val="none" w:sz="0" w:space="0" w:color="auto"/>
            <w:left w:val="none" w:sz="0" w:space="0" w:color="auto"/>
            <w:bottom w:val="none" w:sz="0" w:space="0" w:color="auto"/>
            <w:right w:val="none" w:sz="0" w:space="0" w:color="auto"/>
          </w:divBdr>
        </w:div>
        <w:div w:id="1006787977">
          <w:marLeft w:val="0"/>
          <w:marRight w:val="0"/>
          <w:marTop w:val="0"/>
          <w:marBottom w:val="0"/>
          <w:divBdr>
            <w:top w:val="none" w:sz="0" w:space="0" w:color="auto"/>
            <w:left w:val="none" w:sz="0" w:space="0" w:color="auto"/>
            <w:bottom w:val="none" w:sz="0" w:space="0" w:color="auto"/>
            <w:right w:val="none" w:sz="0" w:space="0" w:color="auto"/>
          </w:divBdr>
        </w:div>
        <w:div w:id="1175193910">
          <w:marLeft w:val="0"/>
          <w:marRight w:val="0"/>
          <w:marTop w:val="0"/>
          <w:marBottom w:val="0"/>
          <w:divBdr>
            <w:top w:val="none" w:sz="0" w:space="0" w:color="auto"/>
            <w:left w:val="none" w:sz="0" w:space="0" w:color="auto"/>
            <w:bottom w:val="none" w:sz="0" w:space="0" w:color="auto"/>
            <w:right w:val="none" w:sz="0" w:space="0" w:color="auto"/>
          </w:divBdr>
        </w:div>
        <w:div w:id="1212114109">
          <w:marLeft w:val="0"/>
          <w:marRight w:val="0"/>
          <w:marTop w:val="0"/>
          <w:marBottom w:val="0"/>
          <w:divBdr>
            <w:top w:val="none" w:sz="0" w:space="0" w:color="auto"/>
            <w:left w:val="none" w:sz="0" w:space="0" w:color="auto"/>
            <w:bottom w:val="none" w:sz="0" w:space="0" w:color="auto"/>
            <w:right w:val="none" w:sz="0" w:space="0" w:color="auto"/>
          </w:divBdr>
        </w:div>
        <w:div w:id="1379356009">
          <w:marLeft w:val="0"/>
          <w:marRight w:val="0"/>
          <w:marTop w:val="0"/>
          <w:marBottom w:val="0"/>
          <w:divBdr>
            <w:top w:val="none" w:sz="0" w:space="0" w:color="auto"/>
            <w:left w:val="none" w:sz="0" w:space="0" w:color="auto"/>
            <w:bottom w:val="none" w:sz="0" w:space="0" w:color="auto"/>
            <w:right w:val="none" w:sz="0" w:space="0" w:color="auto"/>
          </w:divBdr>
        </w:div>
        <w:div w:id="1467774761">
          <w:marLeft w:val="0"/>
          <w:marRight w:val="0"/>
          <w:marTop w:val="0"/>
          <w:marBottom w:val="0"/>
          <w:divBdr>
            <w:top w:val="none" w:sz="0" w:space="0" w:color="auto"/>
            <w:left w:val="none" w:sz="0" w:space="0" w:color="auto"/>
            <w:bottom w:val="none" w:sz="0" w:space="0" w:color="auto"/>
            <w:right w:val="none" w:sz="0" w:space="0" w:color="auto"/>
          </w:divBdr>
        </w:div>
        <w:div w:id="1809739134">
          <w:marLeft w:val="0"/>
          <w:marRight w:val="0"/>
          <w:marTop w:val="0"/>
          <w:marBottom w:val="0"/>
          <w:divBdr>
            <w:top w:val="none" w:sz="0" w:space="0" w:color="auto"/>
            <w:left w:val="none" w:sz="0" w:space="0" w:color="auto"/>
            <w:bottom w:val="none" w:sz="0" w:space="0" w:color="auto"/>
            <w:right w:val="none" w:sz="0" w:space="0" w:color="auto"/>
          </w:divBdr>
        </w:div>
        <w:div w:id="1952777895">
          <w:marLeft w:val="0"/>
          <w:marRight w:val="0"/>
          <w:marTop w:val="0"/>
          <w:marBottom w:val="0"/>
          <w:divBdr>
            <w:top w:val="none" w:sz="0" w:space="0" w:color="auto"/>
            <w:left w:val="none" w:sz="0" w:space="0" w:color="auto"/>
            <w:bottom w:val="none" w:sz="0" w:space="0" w:color="auto"/>
            <w:right w:val="none" w:sz="0" w:space="0" w:color="auto"/>
          </w:divBdr>
        </w:div>
        <w:div w:id="1989435958">
          <w:marLeft w:val="0"/>
          <w:marRight w:val="0"/>
          <w:marTop w:val="0"/>
          <w:marBottom w:val="0"/>
          <w:divBdr>
            <w:top w:val="none" w:sz="0" w:space="0" w:color="auto"/>
            <w:left w:val="none" w:sz="0" w:space="0" w:color="auto"/>
            <w:bottom w:val="none" w:sz="0" w:space="0" w:color="auto"/>
            <w:right w:val="none" w:sz="0" w:space="0" w:color="auto"/>
          </w:divBdr>
        </w:div>
      </w:divsChild>
    </w:div>
    <w:div w:id="2121870540">
      <w:bodyDiv w:val="1"/>
      <w:marLeft w:val="0"/>
      <w:marRight w:val="0"/>
      <w:marTop w:val="0"/>
      <w:marBottom w:val="0"/>
      <w:divBdr>
        <w:top w:val="none" w:sz="0" w:space="0" w:color="auto"/>
        <w:left w:val="none" w:sz="0" w:space="0" w:color="auto"/>
        <w:bottom w:val="none" w:sz="0" w:space="0" w:color="auto"/>
        <w:right w:val="none" w:sz="0" w:space="0" w:color="auto"/>
      </w:divBdr>
    </w:div>
    <w:div w:id="212672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2.png"/><Relationship Id="rId26" Type="http://schemas.openxmlformats.org/officeDocument/2006/relationships/header" Target="header3.xml"/><Relationship Id="rId39"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footer" Target="footer8.xm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hyperlink" Target="http://creativecommons.org/licenses/by/3.0/au/legalcode" TargetMode="External"/><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image" Target="media/image8.pn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mailto:media@treasury.gov.au" TargetMode="External"/><Relationship Id="rId20" Type="http://schemas.openxmlformats.org/officeDocument/2006/relationships/image" Target="media/image4.png"/><Relationship Id="rId29" Type="http://schemas.openxmlformats.org/officeDocument/2006/relationships/header" Target="header5.xml"/><Relationship Id="rId41" Type="http://schemas.openxmlformats.org/officeDocument/2006/relationships/image" Target="media/image11.pn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reativecommons.org/licenses/by/3.0/au/deed.en" TargetMode="External"/><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header" Target="header7.xm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footer" Target="footer1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pmc.gov.au/government/commonwealth-coat-arm" TargetMode="External"/><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image" Target="media/image7.png"/><Relationship Id="rId49" Type="http://schemas.openxmlformats.org/officeDocument/2006/relationships/image" Target="media/image19.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6.xml"/><Relationship Id="rId44" Type="http://schemas.openxmlformats.org/officeDocument/2006/relationships/image" Target="media/image14.png"/><Relationship Id="rId52"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deed.en"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footer" Target="footer9.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afca.org.au/about-afca/annual-review" TargetMode="External"/><Relationship Id="rId13" Type="http://schemas.openxmlformats.org/officeDocument/2006/relationships/hyperlink" Target="https://www.fca.org.uk/publication/annual-reports/annual-report-2020-21.pdf" TargetMode="External"/><Relationship Id="rId18" Type="http://schemas.openxmlformats.org/officeDocument/2006/relationships/hyperlink" Target="https://asic.gov.au/about-asic/corporate-publications/asic-corporate-plan/" TargetMode="External"/><Relationship Id="rId26" Type="http://schemas.openxmlformats.org/officeDocument/2006/relationships/hyperlink" Target="https://deregulation.pmc.gov.au/sites/default/files/regulator-performance-guide.pdf" TargetMode="External"/><Relationship Id="rId3" Type="http://schemas.openxmlformats.org/officeDocument/2006/relationships/hyperlink" Target="https://www.finance.gov.au/publications/resource-management-guides/australian-government-charging-framework-rmg-302" TargetMode="External"/><Relationship Id="rId21" Type="http://schemas.openxmlformats.org/officeDocument/2006/relationships/hyperlink" Target="https://asic.gov.au/about-asic/asic-investigations-and-enforcement/asic-s-compulsory-information-gathering-powers/" TargetMode="External"/><Relationship Id="rId34" Type="http://schemas.openxmlformats.org/officeDocument/2006/relationships/hyperlink" Target="https://asic.gov.au/about-asic/corporate-publications/asic-corporate-plan/" TargetMode="External"/><Relationship Id="rId7" Type="http://schemas.openxmlformats.org/officeDocument/2006/relationships/hyperlink" Target="https://treasury.gov.au/publication/c2014-fsi-final-report" TargetMode="External"/><Relationship Id="rId12" Type="http://schemas.openxmlformats.org/officeDocument/2006/relationships/hyperlink" Target="https://www.pmc.gov.au/news-centre/regulation/new-regulator-performance-guide" TargetMode="External"/><Relationship Id="rId17" Type="http://schemas.openxmlformats.org/officeDocument/2006/relationships/hyperlink" Target="https://asic.gov.au/about-asic/news-centre/find-a-media-release/2021-releases/21-213mr-asic-s-approach-to-new-laws-reforming-financial-services-sector/" TargetMode="External"/><Relationship Id="rId25" Type="http://schemas.openxmlformats.org/officeDocument/2006/relationships/hyperlink" Target="https://deregulation.pmc.gov.au/sites/default/files/regulator-performance-guide.pdf" TargetMode="External"/><Relationship Id="rId33" Type="http://schemas.openxmlformats.org/officeDocument/2006/relationships/hyperlink" Target="https://deregulation.pmc.gov.au/sites/default/files/regulator-performance-guide.pdf" TargetMode="External"/><Relationship Id="rId38" Type="http://schemas.openxmlformats.org/officeDocument/2006/relationships/hyperlink" Target="https://fraa.gov.au" TargetMode="External"/><Relationship Id="rId2" Type="http://schemas.openxmlformats.org/officeDocument/2006/relationships/hyperlink" Target="https://asic.gov.au/about-asic/news-centre/speeches/reflections-from-the-asic-chair/" TargetMode="External"/><Relationship Id="rId16" Type="http://schemas.openxmlformats.org/officeDocument/2006/relationships/hyperlink" Target="https://asic.gov.au/about-asic/what-we-do/how-we-operate/accountability-and-reporting/statements-of-expectations-and-intent/statement-of-intent-australian-securities-and-investments-commission-august-2021/" TargetMode="External"/><Relationship Id="rId20" Type="http://schemas.openxmlformats.org/officeDocument/2006/relationships/hyperlink" Target="https://www.cofr.govt.nz/news-and-publications/regulatory-initiatives-calendar.html" TargetMode="External"/><Relationship Id="rId29" Type="http://schemas.openxmlformats.org/officeDocument/2006/relationships/hyperlink" Target="https://www.ato.gov.au/About-ATO/Commitments-and-reporting/In-detail/ATO-Regulator-Performance-Framework-self-assessment-report-2020-21/?page=13" TargetMode="External"/><Relationship Id="rId1" Type="http://schemas.openxmlformats.org/officeDocument/2006/relationships/hyperlink" Target="https://asic.gov.au/about-asic/news-centre/speeches/chair-s-remarks-at-corporate-counsel-association-event/" TargetMode="External"/><Relationship Id="rId6" Type="http://schemas.openxmlformats.org/officeDocument/2006/relationships/hyperlink" Target="https://download.asic.gov.au/media/qzcaljce/asic-corporate-plan-2021-25-focus-2021-22-published-26-august-2021.pdf" TargetMode="External"/><Relationship Id="rId11" Type="http://schemas.openxmlformats.org/officeDocument/2006/relationships/hyperlink" Target="https://www.pmc.gov.au/news-centre/regulation/new-regulator-performance-guide" TargetMode="External"/><Relationship Id="rId24" Type="http://schemas.openxmlformats.org/officeDocument/2006/relationships/hyperlink" Target="https://www.fma.govt.nz/news-and-resources/reports-and-papers/ease-of-doing-business-survey/" TargetMode="External"/><Relationship Id="rId32" Type="http://schemas.openxmlformats.org/officeDocument/2006/relationships/hyperlink" Target="https://asic.gov.au/about-asic/what-we-do/how-we-operate/accountability-and-reporting/statements-of-expectations-and-intent/statement-of-intent-australian-securities-and-investments-commission-august-2021/" TargetMode="External"/><Relationship Id="rId37" Type="http://schemas.openxmlformats.org/officeDocument/2006/relationships/hyperlink" Target="https://fraa.gov.au/consultations/scope-assessment-australian-securities-and-investments-commission" TargetMode="External"/><Relationship Id="rId5" Type="http://schemas.openxmlformats.org/officeDocument/2006/relationships/hyperlink" Target="https://www.fca.org.uk/data/fca-outcomes-metrics" TargetMode="External"/><Relationship Id="rId15" Type="http://schemas.openxmlformats.org/officeDocument/2006/relationships/hyperlink" Target="https://archive.budget.gov.au/2021-22/myefo/download/myefo-2021-22.pdf" TargetMode="External"/><Relationship Id="rId23" Type="http://schemas.openxmlformats.org/officeDocument/2006/relationships/hyperlink" Target="https://asic.gov.au/about-asic/what-we-do/how-we-operate/performance-and-review/asic-service-charter/asic-service-charter/" TargetMode="External"/><Relationship Id="rId28" Type="http://schemas.openxmlformats.org/officeDocument/2006/relationships/hyperlink" Target="https://www.ato.gov.au/About-ATO/Commitments-and-reporting/In-detail/ATO-Regulator-Performance-Framework-self-assessment-report-2020-21/?page=13" TargetMode="External"/><Relationship Id="rId36" Type="http://schemas.openxmlformats.org/officeDocument/2006/relationships/hyperlink" Target="https://deregulation.pmc.gov.au/sites/default/files/regulator-performance-guide.pdf" TargetMode="External"/><Relationship Id="rId10" Type="http://schemas.openxmlformats.org/officeDocument/2006/relationships/hyperlink" Target="https://www.ato.gov.au/about-ato/commitments-and-reporting/annual-report-and-other-reporting-to-parliament/regulator-performance-framework/" TargetMode="External"/><Relationship Id="rId19" Type="http://schemas.openxmlformats.org/officeDocument/2006/relationships/hyperlink" Target="https://www.fca.org.uk/publications/corporate-documents/regulatory-initiatives-grid" TargetMode="External"/><Relationship Id="rId31" Type="http://schemas.openxmlformats.org/officeDocument/2006/relationships/hyperlink" Target="https://www.ato.gov.au/About-ATO/Commitments-and-reporting/In-detail/ATO-Regulator-Performance-Framework-self-assessment-report-2020-21/?page=13" TargetMode="External"/><Relationship Id="rId4" Type="http://schemas.openxmlformats.org/officeDocument/2006/relationships/hyperlink" Target="https://asic.gov.au/about-asic/corporate-publications/asic-annual-reports/" TargetMode="External"/><Relationship Id="rId9" Type="http://schemas.openxmlformats.org/officeDocument/2006/relationships/hyperlink" Target="https://asic.gov.au/about-asic/what-we-do/how-we-operate/performance-and-review/asic-service-charter/asic-service-charter/" TargetMode="External"/><Relationship Id="rId14" Type="http://schemas.openxmlformats.org/officeDocument/2006/relationships/hyperlink" Target="https://assets.publishing.service.gov.uk/government/uploads/system/uploads/attachment_data/file/1032075/FRF_Review_Consultation_2021_-_Final_.pdf" TargetMode="External"/><Relationship Id="rId22" Type="http://schemas.openxmlformats.org/officeDocument/2006/relationships/hyperlink" Target="https://www.sec.gov/news/press-release/2020-165" TargetMode="External"/><Relationship Id="rId27" Type="http://schemas.openxmlformats.org/officeDocument/2006/relationships/hyperlink" Target="https://deregulation.pmc.gov.au/sites/default/files/regulator-performance-guide.pdf" TargetMode="External"/><Relationship Id="rId30" Type="http://schemas.openxmlformats.org/officeDocument/2006/relationships/hyperlink" Target="https://www.ato.gov.au/About-ATO/Commitments-and-reporting/In-detail/ATO-Regulator-Performance-Framework-self-assessment-report-2018-19/?page=11" TargetMode="External"/><Relationship Id="rId35" Type="http://schemas.openxmlformats.org/officeDocument/2006/relationships/hyperlink" Target="https://deregulation.pmc.gov.au/sites/default/files/regulator-performance-guide.pdf" TargetMode="External"/></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f8041ad-64ca-41de-bfc0-ba1fe0a8cc07">
      <Value>31</Value>
      <Value>27</Value>
      <Value>24</Value>
      <Value>23</Value>
      <Value>22</Value>
      <Value>21</Value>
      <Value>20</Value>
    </TaxCatchAll>
    <a48f371a4a874164b16a8c4aab488f5c xmlns="1f8041ad-64ca-41de-bfc0-ba1fe0a8cc07">
      <Terms xmlns="http://schemas.microsoft.com/office/infopath/2007/PartnerControls">
        <TermInfo xmlns="http://schemas.microsoft.com/office/infopath/2007/PartnerControls">
          <TermName xmlns="http://schemas.microsoft.com/office/infopath/2007/PartnerControls">Reviews and Inquiries</TermName>
          <TermId xmlns="http://schemas.microsoft.com/office/infopath/2007/PartnerControls">44975e42-2e5e-4e74-8e73-7eb62c595faa</TermId>
        </TermInfo>
      </Terms>
    </a48f371a4a874164b16a8c4aab488f5c>
    <gfba5f33532c49208d2320ce38cc3c2b xmlns="1f8041ad-64ca-41de-bfc0-ba1fe0a8cc07">
      <Terms xmlns="http://schemas.microsoft.com/office/infopath/2007/PartnerControls">
        <TermInfo xmlns="http://schemas.microsoft.com/office/infopath/2007/PartnerControls">
          <TermName xmlns="http://schemas.microsoft.com/office/infopath/2007/PartnerControls">ASIC</TermName>
          <TermId xmlns="http://schemas.microsoft.com/office/infopath/2007/PartnerControls">cc15355c-bf2a-41c9-8a65-ef2fc884bcf0</TermId>
        </TermInfo>
        <TermInfo xmlns="http://schemas.microsoft.com/office/infopath/2007/PartnerControls">
          <TermName xmlns="http://schemas.microsoft.com/office/infopath/2007/PartnerControls">FRAA</TermName>
          <TermId xmlns="http://schemas.microsoft.com/office/infopath/2007/PartnerControls">8da74e1f-c43b-4fa7-87b9-b45c9cc45415</TermId>
        </TermInfo>
        <TermInfo xmlns="http://schemas.microsoft.com/office/infopath/2007/PartnerControls">
          <TermName xmlns="http://schemas.microsoft.com/office/infopath/2007/PartnerControls">Regulator Effectiveness</TermName>
          <TermId xmlns="http://schemas.microsoft.com/office/infopath/2007/PartnerControls">6f917741-5072-4bc5-8ac8-6b4a8cd94687</TermId>
        </TermInfo>
        <TermInfo xmlns="http://schemas.microsoft.com/office/infopath/2007/PartnerControls">
          <TermName xmlns="http://schemas.microsoft.com/office/infopath/2007/PartnerControls">Regulator performance</TermName>
          <TermId xmlns="http://schemas.microsoft.com/office/infopath/2007/PartnerControls">6a72a2c4-fa98-4742-b952-2356475807cb</TermId>
        </TermInfo>
      </Terms>
    </gfba5f33532c49208d2320ce38cc3c2b>
    <kfc39f3e4e2747ae990d3c8bb74a5a64 xmlns="1f8041ad-64ca-41de-bfc0-ba1fe0a8cc07">
      <Terms xmlns="http://schemas.microsoft.com/office/infopath/2007/PartnerControls">
        <TermInfo xmlns="http://schemas.microsoft.com/office/infopath/2007/PartnerControls">
          <TermName xmlns="http://schemas.microsoft.com/office/infopath/2007/PartnerControls">Paper (Analysis or Research or Report)</TermName>
          <TermId xmlns="http://schemas.microsoft.com/office/infopath/2007/PartnerControls">6ad78538-b056-4e5b-8c06-e0b6c43f0ffa</TermId>
        </TermInfo>
      </Terms>
    </kfc39f3e4e2747ae990d3c8bb74a5a64>
    <e4fe7dcdd1c0411bbf19a4de3665191f xmlns="1f8041ad-64ca-41de-bfc0-ba1fe0a8cc07">
      <Terms xmlns="http://schemas.microsoft.com/office/infopath/2007/PartnerControls">
        <TermInfo xmlns="http://schemas.microsoft.com/office/infopath/2007/PartnerControls">
          <TermName xmlns="http://schemas.microsoft.com/office/infopath/2007/PartnerControls">Policy Development</TermName>
          <TermId xmlns="http://schemas.microsoft.com/office/infopath/2007/PartnerControls">3c21fa22-a311-4c7a-a8b0-1d9dee90bb01</TermId>
        </TermInfo>
      </Terms>
    </e4fe7dcdd1c0411bbf19a4de3665191f>
    <WantedTopic xmlns="3c3e1118-2a98-4f4f-b4e9-11c9303772f0" xsi:nil="true"/>
    <WantedDocType xmlns="3c3e1118-2a98-4f4f-b4e9-11c9303772f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24F356C664F1478E66EC083DEF24B3" ma:contentTypeVersion="53" ma:contentTypeDescription="Create a new document." ma:contentTypeScope="" ma:versionID="dad23e90064990e57c028e09d09beb71">
  <xsd:schema xmlns:xsd="http://www.w3.org/2001/XMLSchema" xmlns:xs="http://www.w3.org/2001/XMLSchema" xmlns:p="http://schemas.microsoft.com/office/2006/metadata/properties" xmlns:ns2="1f8041ad-64ca-41de-bfc0-ba1fe0a8cc07" xmlns:ns3="3c3e1118-2a98-4f4f-b4e9-11c9303772f0" targetNamespace="http://schemas.microsoft.com/office/2006/metadata/properties" ma:root="true" ma:fieldsID="29eafee5ab0676d4674bc6dfb5b65a6a" ns2:_="" ns3:_="">
    <xsd:import namespace="1f8041ad-64ca-41de-bfc0-ba1fe0a8cc07"/>
    <xsd:import namespace="3c3e1118-2a98-4f4f-b4e9-11c9303772f0"/>
    <xsd:element name="properties">
      <xsd:complexType>
        <xsd:sequence>
          <xsd:element name="documentManagement">
            <xsd:complexType>
              <xsd:all>
                <xsd:element ref="ns2:TaxCatchAll" minOccurs="0"/>
                <xsd:element ref="ns2:kfc39f3e4e2747ae990d3c8bb74a5a64" minOccurs="0"/>
                <xsd:element ref="ns2:e4fe7dcdd1c0411bbf19a4de3665191f" minOccurs="0"/>
                <xsd:element ref="ns2:gfba5f33532c49208d2320ce38cc3c2b" minOccurs="0"/>
                <xsd:element ref="ns2:a48f371a4a874164b16a8c4aab488f5c" minOccurs="0"/>
                <xsd:element ref="ns3:MediaServiceMetadata" minOccurs="0"/>
                <xsd:element ref="ns3:MediaServiceFastMetadata" minOccurs="0"/>
                <xsd:element ref="ns3:MediaServiceAutoKeyPoints" minOccurs="0"/>
                <xsd:element ref="ns3:MediaServiceKeyPoints" minOccurs="0"/>
                <xsd:element ref="ns3:WantedTopic" minOccurs="0"/>
                <xsd:element ref="ns3:WantedDocTyp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041ad-64ca-41de-bfc0-ba1fe0a8cc0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b767f41-7608-4137-bb24-dba55d997f3f}" ma:internalName="TaxCatchAll" ma:showField="CatchAllData" ma:web="1f8041ad-64ca-41de-bfc0-ba1fe0a8cc07">
      <xsd:complexType>
        <xsd:complexContent>
          <xsd:extension base="dms:MultiChoiceLookup">
            <xsd:sequence>
              <xsd:element name="Value" type="dms:Lookup" maxOccurs="unbounded" minOccurs="0" nillable="true"/>
            </xsd:sequence>
          </xsd:extension>
        </xsd:complexContent>
      </xsd:complexType>
    </xsd:element>
    <xsd:element name="kfc39f3e4e2747ae990d3c8bb74a5a64" ma:index="9" ma:taxonomy="true" ma:internalName="kfc39f3e4e2747ae990d3c8bb74a5a64" ma:taxonomyFieldName="eDocumentType" ma:displayName="Document Type" ma:readOnly="false" ma:fieldId="{4fc39f3e-4e27-47ae-990d-3c8bb74a5a64}" ma:sspId="218240cd-c75f-40bd-87f4-262ac964b25b" ma:termSetId="b38273d8-f349-4175-b1b0-ee67dc19adcc" ma:anchorId="00000000-0000-0000-0000-000000000000" ma:open="false" ma:isKeyword="false">
      <xsd:complexType>
        <xsd:sequence>
          <xsd:element ref="pc:Terms" minOccurs="0" maxOccurs="1"/>
        </xsd:sequence>
      </xsd:complexType>
    </xsd:element>
    <xsd:element name="e4fe7dcdd1c0411bbf19a4de3665191f" ma:index="11" ma:taxonomy="true" ma:internalName="e4fe7dcdd1c0411bbf19a4de3665191f" ma:taxonomyFieldName="eActivity" ma:displayName="Activity" ma:readOnly="false" ma:fieldId="{e4fe7dcd-d1c0-411b-bf19-a4de3665191f}" ma:sspId="218240cd-c75f-40bd-87f4-262ac964b25b" ma:termSetId="9305b40a-f8f0-4ebf-9b7d-191d7aeb3104" ma:anchorId="00000000-0000-0000-0000-000000000000" ma:open="false" ma:isKeyword="false">
      <xsd:complexType>
        <xsd:sequence>
          <xsd:element ref="pc:Terms" minOccurs="0" maxOccurs="1"/>
        </xsd:sequence>
      </xsd:complexType>
    </xsd:element>
    <xsd:element name="gfba5f33532c49208d2320ce38cc3c2b" ma:index="13" ma:taxonomy="true" ma:internalName="gfba5f33532c49208d2320ce38cc3c2b" ma:taxonomyFieldName="eTopic" ma:displayName="Topic" ma:readOnly="false" ma:default="" ma:fieldId="{0fba5f33-532c-4920-8d23-20ce38cc3c2b}" ma:taxonomyMulti="true" ma:sspId="218240cd-c75f-40bd-87f4-262ac964b25b" ma:termSetId="0584b66e-a988-4e7c-8ad6-c29e6cbda699" ma:anchorId="00000000-0000-0000-0000-000000000000" ma:open="false" ma:isKeyword="false">
      <xsd:complexType>
        <xsd:sequence>
          <xsd:element ref="pc:Terms" minOccurs="0" maxOccurs="1"/>
        </xsd:sequence>
      </xsd:complexType>
    </xsd:element>
    <xsd:element name="a48f371a4a874164b16a8c4aab488f5c" ma:index="15" ma:taxonomy="true" ma:internalName="a48f371a4a874164b16a8c4aab488f5c" ma:taxonomyFieldName="eTheme" ma:displayName="Theme" ma:readOnly="false" ma:default="-1;#Financial System|047002ef-5ee0-47ee-8184-5f4aaddfe3b3"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e1118-2a98-4f4f-b4e9-11c9303772f0"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WantedTopic" ma:index="21" nillable="true" ma:displayName="Wanted Topic" ma:internalName="WantedTopic">
      <xsd:simpleType>
        <xsd:restriction base="dms:Text"/>
      </xsd:simpleType>
    </xsd:element>
    <xsd:element name="WantedDocType" ma:index="22" nillable="true" ma:displayName="Wanted Doc Type" ma:internalName="WantedDocTyp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F3759-60A8-42B9-93D6-C6CD8F9DB90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c3e1118-2a98-4f4f-b4e9-11c9303772f0"/>
    <ds:schemaRef ds:uri="http://purl.org/dc/elements/1.1/"/>
    <ds:schemaRef ds:uri="http://schemas.microsoft.com/office/2006/metadata/properties"/>
    <ds:schemaRef ds:uri="1f8041ad-64ca-41de-bfc0-ba1fe0a8cc07"/>
    <ds:schemaRef ds:uri="http://www.w3.org/XML/1998/namespace"/>
    <ds:schemaRef ds:uri="http://purl.org/dc/dcmitype/"/>
  </ds:schemaRefs>
</ds:datastoreItem>
</file>

<file path=customXml/itemProps2.xml><?xml version="1.0" encoding="utf-8"?>
<ds:datastoreItem xmlns:ds="http://schemas.openxmlformats.org/officeDocument/2006/customXml" ds:itemID="{AB0DE39F-22FE-4E93-B945-1C9727071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041ad-64ca-41de-bfc0-ba1fe0a8cc07"/>
    <ds:schemaRef ds:uri="3c3e1118-2a98-4f4f-b4e9-11c930377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B3DCDA-F82B-48DF-812C-5E4420045B47}">
  <ds:schemaRefs>
    <ds:schemaRef ds:uri="http://schemas.microsoft.com/sharepoint/v3/contenttype/forms"/>
  </ds:schemaRefs>
</ds:datastoreItem>
</file>

<file path=customXml/itemProps4.xml><?xml version="1.0" encoding="utf-8"?>
<ds:datastoreItem xmlns:ds="http://schemas.openxmlformats.org/officeDocument/2006/customXml" ds:itemID="{4066F2ED-BB68-415D-9734-6C0A472E8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103</Pages>
  <Words>31295</Words>
  <Characters>178382</Characters>
  <Application>Microsoft Office Word</Application>
  <DocSecurity>0</DocSecurity>
  <Lines>1486</Lines>
  <Paragraphs>418</Paragraphs>
  <ScaleCrop>false</ScaleCrop>
  <HeadingPairs>
    <vt:vector size="2" baseType="variant">
      <vt:variant>
        <vt:lpstr>Title</vt:lpstr>
      </vt:variant>
      <vt:variant>
        <vt:i4>1</vt:i4>
      </vt:variant>
    </vt:vector>
  </HeadingPairs>
  <TitlesOfParts>
    <vt:vector size="1" baseType="lpstr">
      <vt:lpstr>Effectiveness and Capability Review of the Australian Securities and Investments Commission</vt:lpstr>
    </vt:vector>
  </TitlesOfParts>
  <Company>Australian Government - The Treasury</Company>
  <LinksUpToDate>false</LinksUpToDate>
  <CharactersWithSpaces>209259</CharactersWithSpaces>
  <SharedDoc>false</SharedDoc>
  <HLinks>
    <vt:vector size="540" baseType="variant">
      <vt:variant>
        <vt:i4>1114173</vt:i4>
      </vt:variant>
      <vt:variant>
        <vt:i4>293</vt:i4>
      </vt:variant>
      <vt:variant>
        <vt:i4>0</vt:i4>
      </vt:variant>
      <vt:variant>
        <vt:i4>5</vt:i4>
      </vt:variant>
      <vt:variant>
        <vt:lpwstr/>
      </vt:variant>
      <vt:variant>
        <vt:lpwstr>_Toc110241846</vt:lpwstr>
      </vt:variant>
      <vt:variant>
        <vt:i4>1114173</vt:i4>
      </vt:variant>
      <vt:variant>
        <vt:i4>287</vt:i4>
      </vt:variant>
      <vt:variant>
        <vt:i4>0</vt:i4>
      </vt:variant>
      <vt:variant>
        <vt:i4>5</vt:i4>
      </vt:variant>
      <vt:variant>
        <vt:lpwstr/>
      </vt:variant>
      <vt:variant>
        <vt:lpwstr>_Toc110241845</vt:lpwstr>
      </vt:variant>
      <vt:variant>
        <vt:i4>1114173</vt:i4>
      </vt:variant>
      <vt:variant>
        <vt:i4>281</vt:i4>
      </vt:variant>
      <vt:variant>
        <vt:i4>0</vt:i4>
      </vt:variant>
      <vt:variant>
        <vt:i4>5</vt:i4>
      </vt:variant>
      <vt:variant>
        <vt:lpwstr/>
      </vt:variant>
      <vt:variant>
        <vt:lpwstr>_Toc110241844</vt:lpwstr>
      </vt:variant>
      <vt:variant>
        <vt:i4>1114173</vt:i4>
      </vt:variant>
      <vt:variant>
        <vt:i4>275</vt:i4>
      </vt:variant>
      <vt:variant>
        <vt:i4>0</vt:i4>
      </vt:variant>
      <vt:variant>
        <vt:i4>5</vt:i4>
      </vt:variant>
      <vt:variant>
        <vt:lpwstr/>
      </vt:variant>
      <vt:variant>
        <vt:lpwstr>_Toc110241843</vt:lpwstr>
      </vt:variant>
      <vt:variant>
        <vt:i4>1114173</vt:i4>
      </vt:variant>
      <vt:variant>
        <vt:i4>269</vt:i4>
      </vt:variant>
      <vt:variant>
        <vt:i4>0</vt:i4>
      </vt:variant>
      <vt:variant>
        <vt:i4>5</vt:i4>
      </vt:variant>
      <vt:variant>
        <vt:lpwstr/>
      </vt:variant>
      <vt:variant>
        <vt:lpwstr>_Toc110241842</vt:lpwstr>
      </vt:variant>
      <vt:variant>
        <vt:i4>1114173</vt:i4>
      </vt:variant>
      <vt:variant>
        <vt:i4>263</vt:i4>
      </vt:variant>
      <vt:variant>
        <vt:i4>0</vt:i4>
      </vt:variant>
      <vt:variant>
        <vt:i4>5</vt:i4>
      </vt:variant>
      <vt:variant>
        <vt:lpwstr/>
      </vt:variant>
      <vt:variant>
        <vt:lpwstr>_Toc110241841</vt:lpwstr>
      </vt:variant>
      <vt:variant>
        <vt:i4>1114173</vt:i4>
      </vt:variant>
      <vt:variant>
        <vt:i4>257</vt:i4>
      </vt:variant>
      <vt:variant>
        <vt:i4>0</vt:i4>
      </vt:variant>
      <vt:variant>
        <vt:i4>5</vt:i4>
      </vt:variant>
      <vt:variant>
        <vt:lpwstr/>
      </vt:variant>
      <vt:variant>
        <vt:lpwstr>_Toc110241840</vt:lpwstr>
      </vt:variant>
      <vt:variant>
        <vt:i4>1441853</vt:i4>
      </vt:variant>
      <vt:variant>
        <vt:i4>251</vt:i4>
      </vt:variant>
      <vt:variant>
        <vt:i4>0</vt:i4>
      </vt:variant>
      <vt:variant>
        <vt:i4>5</vt:i4>
      </vt:variant>
      <vt:variant>
        <vt:lpwstr/>
      </vt:variant>
      <vt:variant>
        <vt:lpwstr>_Toc110241839</vt:lpwstr>
      </vt:variant>
      <vt:variant>
        <vt:i4>1441853</vt:i4>
      </vt:variant>
      <vt:variant>
        <vt:i4>245</vt:i4>
      </vt:variant>
      <vt:variant>
        <vt:i4>0</vt:i4>
      </vt:variant>
      <vt:variant>
        <vt:i4>5</vt:i4>
      </vt:variant>
      <vt:variant>
        <vt:lpwstr/>
      </vt:variant>
      <vt:variant>
        <vt:lpwstr>_Toc110241838</vt:lpwstr>
      </vt:variant>
      <vt:variant>
        <vt:i4>1441853</vt:i4>
      </vt:variant>
      <vt:variant>
        <vt:i4>239</vt:i4>
      </vt:variant>
      <vt:variant>
        <vt:i4>0</vt:i4>
      </vt:variant>
      <vt:variant>
        <vt:i4>5</vt:i4>
      </vt:variant>
      <vt:variant>
        <vt:lpwstr/>
      </vt:variant>
      <vt:variant>
        <vt:lpwstr>_Toc110241837</vt:lpwstr>
      </vt:variant>
      <vt:variant>
        <vt:i4>1441853</vt:i4>
      </vt:variant>
      <vt:variant>
        <vt:i4>233</vt:i4>
      </vt:variant>
      <vt:variant>
        <vt:i4>0</vt:i4>
      </vt:variant>
      <vt:variant>
        <vt:i4>5</vt:i4>
      </vt:variant>
      <vt:variant>
        <vt:lpwstr/>
      </vt:variant>
      <vt:variant>
        <vt:lpwstr>_Toc110241836</vt:lpwstr>
      </vt:variant>
      <vt:variant>
        <vt:i4>1441853</vt:i4>
      </vt:variant>
      <vt:variant>
        <vt:i4>227</vt:i4>
      </vt:variant>
      <vt:variant>
        <vt:i4>0</vt:i4>
      </vt:variant>
      <vt:variant>
        <vt:i4>5</vt:i4>
      </vt:variant>
      <vt:variant>
        <vt:lpwstr/>
      </vt:variant>
      <vt:variant>
        <vt:lpwstr>_Toc110241835</vt:lpwstr>
      </vt:variant>
      <vt:variant>
        <vt:i4>1441853</vt:i4>
      </vt:variant>
      <vt:variant>
        <vt:i4>221</vt:i4>
      </vt:variant>
      <vt:variant>
        <vt:i4>0</vt:i4>
      </vt:variant>
      <vt:variant>
        <vt:i4>5</vt:i4>
      </vt:variant>
      <vt:variant>
        <vt:lpwstr/>
      </vt:variant>
      <vt:variant>
        <vt:lpwstr>_Toc110241834</vt:lpwstr>
      </vt:variant>
      <vt:variant>
        <vt:i4>1441853</vt:i4>
      </vt:variant>
      <vt:variant>
        <vt:i4>215</vt:i4>
      </vt:variant>
      <vt:variant>
        <vt:i4>0</vt:i4>
      </vt:variant>
      <vt:variant>
        <vt:i4>5</vt:i4>
      </vt:variant>
      <vt:variant>
        <vt:lpwstr/>
      </vt:variant>
      <vt:variant>
        <vt:lpwstr>_Toc110241833</vt:lpwstr>
      </vt:variant>
      <vt:variant>
        <vt:i4>1441853</vt:i4>
      </vt:variant>
      <vt:variant>
        <vt:i4>209</vt:i4>
      </vt:variant>
      <vt:variant>
        <vt:i4>0</vt:i4>
      </vt:variant>
      <vt:variant>
        <vt:i4>5</vt:i4>
      </vt:variant>
      <vt:variant>
        <vt:lpwstr/>
      </vt:variant>
      <vt:variant>
        <vt:lpwstr>_Toc110241832</vt:lpwstr>
      </vt:variant>
      <vt:variant>
        <vt:i4>1441853</vt:i4>
      </vt:variant>
      <vt:variant>
        <vt:i4>203</vt:i4>
      </vt:variant>
      <vt:variant>
        <vt:i4>0</vt:i4>
      </vt:variant>
      <vt:variant>
        <vt:i4>5</vt:i4>
      </vt:variant>
      <vt:variant>
        <vt:lpwstr/>
      </vt:variant>
      <vt:variant>
        <vt:lpwstr>_Toc110241831</vt:lpwstr>
      </vt:variant>
      <vt:variant>
        <vt:i4>1441853</vt:i4>
      </vt:variant>
      <vt:variant>
        <vt:i4>197</vt:i4>
      </vt:variant>
      <vt:variant>
        <vt:i4>0</vt:i4>
      </vt:variant>
      <vt:variant>
        <vt:i4>5</vt:i4>
      </vt:variant>
      <vt:variant>
        <vt:lpwstr/>
      </vt:variant>
      <vt:variant>
        <vt:lpwstr>_Toc110241830</vt:lpwstr>
      </vt:variant>
      <vt:variant>
        <vt:i4>1507389</vt:i4>
      </vt:variant>
      <vt:variant>
        <vt:i4>191</vt:i4>
      </vt:variant>
      <vt:variant>
        <vt:i4>0</vt:i4>
      </vt:variant>
      <vt:variant>
        <vt:i4>5</vt:i4>
      </vt:variant>
      <vt:variant>
        <vt:lpwstr/>
      </vt:variant>
      <vt:variant>
        <vt:lpwstr>_Toc110241829</vt:lpwstr>
      </vt:variant>
      <vt:variant>
        <vt:i4>1507389</vt:i4>
      </vt:variant>
      <vt:variant>
        <vt:i4>185</vt:i4>
      </vt:variant>
      <vt:variant>
        <vt:i4>0</vt:i4>
      </vt:variant>
      <vt:variant>
        <vt:i4>5</vt:i4>
      </vt:variant>
      <vt:variant>
        <vt:lpwstr/>
      </vt:variant>
      <vt:variant>
        <vt:lpwstr>_Toc110241828</vt:lpwstr>
      </vt:variant>
      <vt:variant>
        <vt:i4>1507389</vt:i4>
      </vt:variant>
      <vt:variant>
        <vt:i4>179</vt:i4>
      </vt:variant>
      <vt:variant>
        <vt:i4>0</vt:i4>
      </vt:variant>
      <vt:variant>
        <vt:i4>5</vt:i4>
      </vt:variant>
      <vt:variant>
        <vt:lpwstr/>
      </vt:variant>
      <vt:variant>
        <vt:lpwstr>_Toc110241827</vt:lpwstr>
      </vt:variant>
      <vt:variant>
        <vt:i4>1507389</vt:i4>
      </vt:variant>
      <vt:variant>
        <vt:i4>173</vt:i4>
      </vt:variant>
      <vt:variant>
        <vt:i4>0</vt:i4>
      </vt:variant>
      <vt:variant>
        <vt:i4>5</vt:i4>
      </vt:variant>
      <vt:variant>
        <vt:lpwstr/>
      </vt:variant>
      <vt:variant>
        <vt:lpwstr>_Toc110241826</vt:lpwstr>
      </vt:variant>
      <vt:variant>
        <vt:i4>1507389</vt:i4>
      </vt:variant>
      <vt:variant>
        <vt:i4>167</vt:i4>
      </vt:variant>
      <vt:variant>
        <vt:i4>0</vt:i4>
      </vt:variant>
      <vt:variant>
        <vt:i4>5</vt:i4>
      </vt:variant>
      <vt:variant>
        <vt:lpwstr/>
      </vt:variant>
      <vt:variant>
        <vt:lpwstr>_Toc110241825</vt:lpwstr>
      </vt:variant>
      <vt:variant>
        <vt:i4>1507389</vt:i4>
      </vt:variant>
      <vt:variant>
        <vt:i4>161</vt:i4>
      </vt:variant>
      <vt:variant>
        <vt:i4>0</vt:i4>
      </vt:variant>
      <vt:variant>
        <vt:i4>5</vt:i4>
      </vt:variant>
      <vt:variant>
        <vt:lpwstr/>
      </vt:variant>
      <vt:variant>
        <vt:lpwstr>_Toc110241824</vt:lpwstr>
      </vt:variant>
      <vt:variant>
        <vt:i4>1507389</vt:i4>
      </vt:variant>
      <vt:variant>
        <vt:i4>155</vt:i4>
      </vt:variant>
      <vt:variant>
        <vt:i4>0</vt:i4>
      </vt:variant>
      <vt:variant>
        <vt:i4>5</vt:i4>
      </vt:variant>
      <vt:variant>
        <vt:lpwstr/>
      </vt:variant>
      <vt:variant>
        <vt:lpwstr>_Toc110241823</vt:lpwstr>
      </vt:variant>
      <vt:variant>
        <vt:i4>1507389</vt:i4>
      </vt:variant>
      <vt:variant>
        <vt:i4>149</vt:i4>
      </vt:variant>
      <vt:variant>
        <vt:i4>0</vt:i4>
      </vt:variant>
      <vt:variant>
        <vt:i4>5</vt:i4>
      </vt:variant>
      <vt:variant>
        <vt:lpwstr/>
      </vt:variant>
      <vt:variant>
        <vt:lpwstr>_Toc110241822</vt:lpwstr>
      </vt:variant>
      <vt:variant>
        <vt:i4>1507389</vt:i4>
      </vt:variant>
      <vt:variant>
        <vt:i4>143</vt:i4>
      </vt:variant>
      <vt:variant>
        <vt:i4>0</vt:i4>
      </vt:variant>
      <vt:variant>
        <vt:i4>5</vt:i4>
      </vt:variant>
      <vt:variant>
        <vt:lpwstr/>
      </vt:variant>
      <vt:variant>
        <vt:lpwstr>_Toc110241821</vt:lpwstr>
      </vt:variant>
      <vt:variant>
        <vt:i4>1507389</vt:i4>
      </vt:variant>
      <vt:variant>
        <vt:i4>137</vt:i4>
      </vt:variant>
      <vt:variant>
        <vt:i4>0</vt:i4>
      </vt:variant>
      <vt:variant>
        <vt:i4>5</vt:i4>
      </vt:variant>
      <vt:variant>
        <vt:lpwstr/>
      </vt:variant>
      <vt:variant>
        <vt:lpwstr>_Toc110241820</vt:lpwstr>
      </vt:variant>
      <vt:variant>
        <vt:i4>1310781</vt:i4>
      </vt:variant>
      <vt:variant>
        <vt:i4>131</vt:i4>
      </vt:variant>
      <vt:variant>
        <vt:i4>0</vt:i4>
      </vt:variant>
      <vt:variant>
        <vt:i4>5</vt:i4>
      </vt:variant>
      <vt:variant>
        <vt:lpwstr/>
      </vt:variant>
      <vt:variant>
        <vt:lpwstr>_Toc110241819</vt:lpwstr>
      </vt:variant>
      <vt:variant>
        <vt:i4>1310781</vt:i4>
      </vt:variant>
      <vt:variant>
        <vt:i4>125</vt:i4>
      </vt:variant>
      <vt:variant>
        <vt:i4>0</vt:i4>
      </vt:variant>
      <vt:variant>
        <vt:i4>5</vt:i4>
      </vt:variant>
      <vt:variant>
        <vt:lpwstr/>
      </vt:variant>
      <vt:variant>
        <vt:lpwstr>_Toc110241818</vt:lpwstr>
      </vt:variant>
      <vt:variant>
        <vt:i4>1310781</vt:i4>
      </vt:variant>
      <vt:variant>
        <vt:i4>119</vt:i4>
      </vt:variant>
      <vt:variant>
        <vt:i4>0</vt:i4>
      </vt:variant>
      <vt:variant>
        <vt:i4>5</vt:i4>
      </vt:variant>
      <vt:variant>
        <vt:lpwstr/>
      </vt:variant>
      <vt:variant>
        <vt:lpwstr>_Toc110241817</vt:lpwstr>
      </vt:variant>
      <vt:variant>
        <vt:i4>1310781</vt:i4>
      </vt:variant>
      <vt:variant>
        <vt:i4>113</vt:i4>
      </vt:variant>
      <vt:variant>
        <vt:i4>0</vt:i4>
      </vt:variant>
      <vt:variant>
        <vt:i4>5</vt:i4>
      </vt:variant>
      <vt:variant>
        <vt:lpwstr/>
      </vt:variant>
      <vt:variant>
        <vt:lpwstr>_Toc110241816</vt:lpwstr>
      </vt:variant>
      <vt:variant>
        <vt:i4>1310781</vt:i4>
      </vt:variant>
      <vt:variant>
        <vt:i4>107</vt:i4>
      </vt:variant>
      <vt:variant>
        <vt:i4>0</vt:i4>
      </vt:variant>
      <vt:variant>
        <vt:i4>5</vt:i4>
      </vt:variant>
      <vt:variant>
        <vt:lpwstr/>
      </vt:variant>
      <vt:variant>
        <vt:lpwstr>_Toc110241815</vt:lpwstr>
      </vt:variant>
      <vt:variant>
        <vt:i4>1310781</vt:i4>
      </vt:variant>
      <vt:variant>
        <vt:i4>101</vt:i4>
      </vt:variant>
      <vt:variant>
        <vt:i4>0</vt:i4>
      </vt:variant>
      <vt:variant>
        <vt:i4>5</vt:i4>
      </vt:variant>
      <vt:variant>
        <vt:lpwstr/>
      </vt:variant>
      <vt:variant>
        <vt:lpwstr>_Toc110241814</vt:lpwstr>
      </vt:variant>
      <vt:variant>
        <vt:i4>1310781</vt:i4>
      </vt:variant>
      <vt:variant>
        <vt:i4>95</vt:i4>
      </vt:variant>
      <vt:variant>
        <vt:i4>0</vt:i4>
      </vt:variant>
      <vt:variant>
        <vt:i4>5</vt:i4>
      </vt:variant>
      <vt:variant>
        <vt:lpwstr/>
      </vt:variant>
      <vt:variant>
        <vt:lpwstr>_Toc110241813</vt:lpwstr>
      </vt:variant>
      <vt:variant>
        <vt:i4>1310781</vt:i4>
      </vt:variant>
      <vt:variant>
        <vt:i4>89</vt:i4>
      </vt:variant>
      <vt:variant>
        <vt:i4>0</vt:i4>
      </vt:variant>
      <vt:variant>
        <vt:i4>5</vt:i4>
      </vt:variant>
      <vt:variant>
        <vt:lpwstr/>
      </vt:variant>
      <vt:variant>
        <vt:lpwstr>_Toc110241812</vt:lpwstr>
      </vt:variant>
      <vt:variant>
        <vt:i4>1310781</vt:i4>
      </vt:variant>
      <vt:variant>
        <vt:i4>83</vt:i4>
      </vt:variant>
      <vt:variant>
        <vt:i4>0</vt:i4>
      </vt:variant>
      <vt:variant>
        <vt:i4>5</vt:i4>
      </vt:variant>
      <vt:variant>
        <vt:lpwstr/>
      </vt:variant>
      <vt:variant>
        <vt:lpwstr>_Toc110241811</vt:lpwstr>
      </vt:variant>
      <vt:variant>
        <vt:i4>1310781</vt:i4>
      </vt:variant>
      <vt:variant>
        <vt:i4>77</vt:i4>
      </vt:variant>
      <vt:variant>
        <vt:i4>0</vt:i4>
      </vt:variant>
      <vt:variant>
        <vt:i4>5</vt:i4>
      </vt:variant>
      <vt:variant>
        <vt:lpwstr/>
      </vt:variant>
      <vt:variant>
        <vt:lpwstr>_Toc110241810</vt:lpwstr>
      </vt:variant>
      <vt:variant>
        <vt:i4>1376317</vt:i4>
      </vt:variant>
      <vt:variant>
        <vt:i4>71</vt:i4>
      </vt:variant>
      <vt:variant>
        <vt:i4>0</vt:i4>
      </vt:variant>
      <vt:variant>
        <vt:i4>5</vt:i4>
      </vt:variant>
      <vt:variant>
        <vt:lpwstr/>
      </vt:variant>
      <vt:variant>
        <vt:lpwstr>_Toc110241809</vt:lpwstr>
      </vt:variant>
      <vt:variant>
        <vt:i4>1376317</vt:i4>
      </vt:variant>
      <vt:variant>
        <vt:i4>65</vt:i4>
      </vt:variant>
      <vt:variant>
        <vt:i4>0</vt:i4>
      </vt:variant>
      <vt:variant>
        <vt:i4>5</vt:i4>
      </vt:variant>
      <vt:variant>
        <vt:lpwstr/>
      </vt:variant>
      <vt:variant>
        <vt:lpwstr>_Toc110241808</vt:lpwstr>
      </vt:variant>
      <vt:variant>
        <vt:i4>1376317</vt:i4>
      </vt:variant>
      <vt:variant>
        <vt:i4>59</vt:i4>
      </vt:variant>
      <vt:variant>
        <vt:i4>0</vt:i4>
      </vt:variant>
      <vt:variant>
        <vt:i4>5</vt:i4>
      </vt:variant>
      <vt:variant>
        <vt:lpwstr/>
      </vt:variant>
      <vt:variant>
        <vt:lpwstr>_Toc110241807</vt:lpwstr>
      </vt:variant>
      <vt:variant>
        <vt:i4>1376317</vt:i4>
      </vt:variant>
      <vt:variant>
        <vt:i4>53</vt:i4>
      </vt:variant>
      <vt:variant>
        <vt:i4>0</vt:i4>
      </vt:variant>
      <vt:variant>
        <vt:i4>5</vt:i4>
      </vt:variant>
      <vt:variant>
        <vt:lpwstr/>
      </vt:variant>
      <vt:variant>
        <vt:lpwstr>_Toc110241806</vt:lpwstr>
      </vt:variant>
      <vt:variant>
        <vt:i4>1376317</vt:i4>
      </vt:variant>
      <vt:variant>
        <vt:i4>47</vt:i4>
      </vt:variant>
      <vt:variant>
        <vt:i4>0</vt:i4>
      </vt:variant>
      <vt:variant>
        <vt:i4>5</vt:i4>
      </vt:variant>
      <vt:variant>
        <vt:lpwstr/>
      </vt:variant>
      <vt:variant>
        <vt:lpwstr>_Toc110241805</vt:lpwstr>
      </vt:variant>
      <vt:variant>
        <vt:i4>1376317</vt:i4>
      </vt:variant>
      <vt:variant>
        <vt:i4>41</vt:i4>
      </vt:variant>
      <vt:variant>
        <vt:i4>0</vt:i4>
      </vt:variant>
      <vt:variant>
        <vt:i4>5</vt:i4>
      </vt:variant>
      <vt:variant>
        <vt:lpwstr/>
      </vt:variant>
      <vt:variant>
        <vt:lpwstr>_Toc110241804</vt:lpwstr>
      </vt:variant>
      <vt:variant>
        <vt:i4>1376317</vt:i4>
      </vt:variant>
      <vt:variant>
        <vt:i4>35</vt:i4>
      </vt:variant>
      <vt:variant>
        <vt:i4>0</vt:i4>
      </vt:variant>
      <vt:variant>
        <vt:i4>5</vt:i4>
      </vt:variant>
      <vt:variant>
        <vt:lpwstr/>
      </vt:variant>
      <vt:variant>
        <vt:lpwstr>_Toc110241803</vt:lpwstr>
      </vt:variant>
      <vt:variant>
        <vt:i4>1376317</vt:i4>
      </vt:variant>
      <vt:variant>
        <vt:i4>29</vt:i4>
      </vt:variant>
      <vt:variant>
        <vt:i4>0</vt:i4>
      </vt:variant>
      <vt:variant>
        <vt:i4>5</vt:i4>
      </vt:variant>
      <vt:variant>
        <vt:lpwstr/>
      </vt:variant>
      <vt:variant>
        <vt:lpwstr>_Toc110241802</vt:lpwstr>
      </vt:variant>
      <vt:variant>
        <vt:i4>1376317</vt:i4>
      </vt:variant>
      <vt:variant>
        <vt:i4>23</vt:i4>
      </vt:variant>
      <vt:variant>
        <vt:i4>0</vt:i4>
      </vt:variant>
      <vt:variant>
        <vt:i4>5</vt:i4>
      </vt:variant>
      <vt:variant>
        <vt:lpwstr/>
      </vt:variant>
      <vt:variant>
        <vt:lpwstr>_Toc110241801</vt:lpwstr>
      </vt:variant>
      <vt:variant>
        <vt:i4>1376317</vt:i4>
      </vt:variant>
      <vt:variant>
        <vt:i4>17</vt:i4>
      </vt:variant>
      <vt:variant>
        <vt:i4>0</vt:i4>
      </vt:variant>
      <vt:variant>
        <vt:i4>5</vt:i4>
      </vt:variant>
      <vt:variant>
        <vt:lpwstr/>
      </vt:variant>
      <vt:variant>
        <vt:lpwstr>_Toc110241800</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6094941</vt:i4>
      </vt:variant>
      <vt:variant>
        <vt:i4>114</vt:i4>
      </vt:variant>
      <vt:variant>
        <vt:i4>0</vt:i4>
      </vt:variant>
      <vt:variant>
        <vt:i4>5</vt:i4>
      </vt:variant>
      <vt:variant>
        <vt:lpwstr>https://fraa.gov.au/</vt:lpwstr>
      </vt:variant>
      <vt:variant>
        <vt:lpwstr/>
      </vt:variant>
      <vt:variant>
        <vt:i4>7274542</vt:i4>
      </vt:variant>
      <vt:variant>
        <vt:i4>111</vt:i4>
      </vt:variant>
      <vt:variant>
        <vt:i4>0</vt:i4>
      </vt:variant>
      <vt:variant>
        <vt:i4>5</vt:i4>
      </vt:variant>
      <vt:variant>
        <vt:lpwstr>https://fraa.gov.au/consultations/scope-assessment-australian-securities-and-investments-commission</vt:lpwstr>
      </vt:variant>
      <vt:variant>
        <vt:lpwstr/>
      </vt:variant>
      <vt:variant>
        <vt:i4>4128894</vt:i4>
      </vt:variant>
      <vt:variant>
        <vt:i4>108</vt:i4>
      </vt:variant>
      <vt:variant>
        <vt:i4>0</vt:i4>
      </vt:variant>
      <vt:variant>
        <vt:i4>5</vt:i4>
      </vt:variant>
      <vt:variant>
        <vt:lpwstr>https://deregulation.pmc.gov.au/sites/default/files/regulator-performance-guide.pdf</vt:lpwstr>
      </vt:variant>
      <vt:variant>
        <vt:lpwstr/>
      </vt:variant>
      <vt:variant>
        <vt:i4>4128894</vt:i4>
      </vt:variant>
      <vt:variant>
        <vt:i4>105</vt:i4>
      </vt:variant>
      <vt:variant>
        <vt:i4>0</vt:i4>
      </vt:variant>
      <vt:variant>
        <vt:i4>5</vt:i4>
      </vt:variant>
      <vt:variant>
        <vt:lpwstr>https://deregulation.pmc.gov.au/sites/default/files/regulator-performance-guide.pdf</vt:lpwstr>
      </vt:variant>
      <vt:variant>
        <vt:lpwstr/>
      </vt:variant>
      <vt:variant>
        <vt:i4>6815802</vt:i4>
      </vt:variant>
      <vt:variant>
        <vt:i4>102</vt:i4>
      </vt:variant>
      <vt:variant>
        <vt:i4>0</vt:i4>
      </vt:variant>
      <vt:variant>
        <vt:i4>5</vt:i4>
      </vt:variant>
      <vt:variant>
        <vt:lpwstr>https://asic.gov.au/about-asic/corporate-publications/asic-corporate-plan/</vt:lpwstr>
      </vt:variant>
      <vt:variant>
        <vt:lpwstr/>
      </vt:variant>
      <vt:variant>
        <vt:i4>4128894</vt:i4>
      </vt:variant>
      <vt:variant>
        <vt:i4>99</vt:i4>
      </vt:variant>
      <vt:variant>
        <vt:i4>0</vt:i4>
      </vt:variant>
      <vt:variant>
        <vt:i4>5</vt:i4>
      </vt:variant>
      <vt:variant>
        <vt:lpwstr>https://deregulation.pmc.gov.au/sites/default/files/regulator-performance-guide.pdf</vt:lpwstr>
      </vt:variant>
      <vt:variant>
        <vt:lpwstr/>
      </vt:variant>
      <vt:variant>
        <vt:i4>655444</vt:i4>
      </vt:variant>
      <vt:variant>
        <vt:i4>96</vt:i4>
      </vt:variant>
      <vt:variant>
        <vt:i4>0</vt:i4>
      </vt:variant>
      <vt:variant>
        <vt:i4>5</vt:i4>
      </vt:variant>
      <vt:variant>
        <vt:lpwstr>https://asic.gov.au/about-asic/what-we-do/how-we-operate/accountability-and-reporting/statements-of-expectations-and-intent/statement-of-intent-australian-securities-and-investments-commission-august-2021/</vt:lpwstr>
      </vt:variant>
      <vt:variant>
        <vt:lpwstr/>
      </vt:variant>
      <vt:variant>
        <vt:i4>1114201</vt:i4>
      </vt:variant>
      <vt:variant>
        <vt:i4>93</vt:i4>
      </vt:variant>
      <vt:variant>
        <vt:i4>0</vt:i4>
      </vt:variant>
      <vt:variant>
        <vt:i4>5</vt:i4>
      </vt:variant>
      <vt:variant>
        <vt:lpwstr>https://www.ato.gov.au/About-ATO/Commitments-and-reporting/In-detail/ATO-Regulator-Performance-Framework-self-assessment-report-2020-21/?page=13</vt:lpwstr>
      </vt:variant>
      <vt:variant>
        <vt:lpwstr/>
      </vt:variant>
      <vt:variant>
        <vt:i4>1572946</vt:i4>
      </vt:variant>
      <vt:variant>
        <vt:i4>90</vt:i4>
      </vt:variant>
      <vt:variant>
        <vt:i4>0</vt:i4>
      </vt:variant>
      <vt:variant>
        <vt:i4>5</vt:i4>
      </vt:variant>
      <vt:variant>
        <vt:lpwstr>https://www.ato.gov.au/About-ATO/Commitments-and-reporting/In-detail/ATO-Regulator-Performance-Framework-self-assessment-report-2018-19/?page=11</vt:lpwstr>
      </vt:variant>
      <vt:variant>
        <vt:lpwstr/>
      </vt:variant>
      <vt:variant>
        <vt:i4>1114201</vt:i4>
      </vt:variant>
      <vt:variant>
        <vt:i4>87</vt:i4>
      </vt:variant>
      <vt:variant>
        <vt:i4>0</vt:i4>
      </vt:variant>
      <vt:variant>
        <vt:i4>5</vt:i4>
      </vt:variant>
      <vt:variant>
        <vt:lpwstr>https://www.ato.gov.au/About-ATO/Commitments-and-reporting/In-detail/ATO-Regulator-Performance-Framework-self-assessment-report-2020-21/?page=13</vt:lpwstr>
      </vt:variant>
      <vt:variant>
        <vt:lpwstr/>
      </vt:variant>
      <vt:variant>
        <vt:i4>1114201</vt:i4>
      </vt:variant>
      <vt:variant>
        <vt:i4>84</vt:i4>
      </vt:variant>
      <vt:variant>
        <vt:i4>0</vt:i4>
      </vt:variant>
      <vt:variant>
        <vt:i4>5</vt:i4>
      </vt:variant>
      <vt:variant>
        <vt:lpwstr>https://www.ato.gov.au/About-ATO/Commitments-and-reporting/In-detail/ATO-Regulator-Performance-Framework-self-assessment-report-2020-21/?page=13</vt:lpwstr>
      </vt:variant>
      <vt:variant>
        <vt:lpwstr/>
      </vt:variant>
      <vt:variant>
        <vt:i4>4128894</vt:i4>
      </vt:variant>
      <vt:variant>
        <vt:i4>81</vt:i4>
      </vt:variant>
      <vt:variant>
        <vt:i4>0</vt:i4>
      </vt:variant>
      <vt:variant>
        <vt:i4>5</vt:i4>
      </vt:variant>
      <vt:variant>
        <vt:lpwstr>https://deregulation.pmc.gov.au/sites/default/files/regulator-performance-guide.pdf</vt:lpwstr>
      </vt:variant>
      <vt:variant>
        <vt:lpwstr/>
      </vt:variant>
      <vt:variant>
        <vt:i4>4128894</vt:i4>
      </vt:variant>
      <vt:variant>
        <vt:i4>78</vt:i4>
      </vt:variant>
      <vt:variant>
        <vt:i4>0</vt:i4>
      </vt:variant>
      <vt:variant>
        <vt:i4>5</vt:i4>
      </vt:variant>
      <vt:variant>
        <vt:lpwstr>https://deregulation.pmc.gov.au/sites/default/files/regulator-performance-guide.pdf</vt:lpwstr>
      </vt:variant>
      <vt:variant>
        <vt:lpwstr/>
      </vt:variant>
      <vt:variant>
        <vt:i4>4128894</vt:i4>
      </vt:variant>
      <vt:variant>
        <vt:i4>75</vt:i4>
      </vt:variant>
      <vt:variant>
        <vt:i4>0</vt:i4>
      </vt:variant>
      <vt:variant>
        <vt:i4>5</vt:i4>
      </vt:variant>
      <vt:variant>
        <vt:lpwstr>https://deregulation.pmc.gov.au/sites/default/files/regulator-performance-guide.pdf</vt:lpwstr>
      </vt:variant>
      <vt:variant>
        <vt:lpwstr/>
      </vt:variant>
      <vt:variant>
        <vt:i4>5636172</vt:i4>
      </vt:variant>
      <vt:variant>
        <vt:i4>72</vt:i4>
      </vt:variant>
      <vt:variant>
        <vt:i4>0</vt:i4>
      </vt:variant>
      <vt:variant>
        <vt:i4>5</vt:i4>
      </vt:variant>
      <vt:variant>
        <vt:lpwstr>https://www.fma.govt.nz/news-and-resources/reports-and-papers/ease-of-doing-business-survey/</vt:lpwstr>
      </vt:variant>
      <vt:variant>
        <vt:lpwstr/>
      </vt:variant>
      <vt:variant>
        <vt:i4>3735661</vt:i4>
      </vt:variant>
      <vt:variant>
        <vt:i4>69</vt:i4>
      </vt:variant>
      <vt:variant>
        <vt:i4>0</vt:i4>
      </vt:variant>
      <vt:variant>
        <vt:i4>5</vt:i4>
      </vt:variant>
      <vt:variant>
        <vt:lpwstr>https://asic.gov.au/about-asic/what-we-do/how-we-operate/performance-and-review/asic-service-charter/asic-service-charter/</vt:lpwstr>
      </vt:variant>
      <vt:variant>
        <vt:lpwstr/>
      </vt:variant>
      <vt:variant>
        <vt:i4>3276854</vt:i4>
      </vt:variant>
      <vt:variant>
        <vt:i4>66</vt:i4>
      </vt:variant>
      <vt:variant>
        <vt:i4>0</vt:i4>
      </vt:variant>
      <vt:variant>
        <vt:i4>5</vt:i4>
      </vt:variant>
      <vt:variant>
        <vt:lpwstr>https://www.sec.gov/news/press-release/2020-165</vt:lpwstr>
      </vt:variant>
      <vt:variant>
        <vt:lpwstr/>
      </vt:variant>
      <vt:variant>
        <vt:i4>7667827</vt:i4>
      </vt:variant>
      <vt:variant>
        <vt:i4>63</vt:i4>
      </vt:variant>
      <vt:variant>
        <vt:i4>0</vt:i4>
      </vt:variant>
      <vt:variant>
        <vt:i4>5</vt:i4>
      </vt:variant>
      <vt:variant>
        <vt:lpwstr>https://asic.gov.au/about-asic/asic-investigations-and-enforcement/asic-s-compulsory-information-gathering-powers/</vt:lpwstr>
      </vt:variant>
      <vt:variant>
        <vt:lpwstr/>
      </vt:variant>
      <vt:variant>
        <vt:i4>6946869</vt:i4>
      </vt:variant>
      <vt:variant>
        <vt:i4>60</vt:i4>
      </vt:variant>
      <vt:variant>
        <vt:i4>0</vt:i4>
      </vt:variant>
      <vt:variant>
        <vt:i4>5</vt:i4>
      </vt:variant>
      <vt:variant>
        <vt:lpwstr>https://www.cofr.govt.nz/news-and-publications/regulatory-initiatives-calendar.html</vt:lpwstr>
      </vt:variant>
      <vt:variant>
        <vt:lpwstr/>
      </vt:variant>
      <vt:variant>
        <vt:i4>6357104</vt:i4>
      </vt:variant>
      <vt:variant>
        <vt:i4>57</vt:i4>
      </vt:variant>
      <vt:variant>
        <vt:i4>0</vt:i4>
      </vt:variant>
      <vt:variant>
        <vt:i4>5</vt:i4>
      </vt:variant>
      <vt:variant>
        <vt:lpwstr>https://www.fca.org.uk/publications/corporate-documents/regulatory-initiatives-grid</vt:lpwstr>
      </vt:variant>
      <vt:variant>
        <vt:lpwstr/>
      </vt:variant>
      <vt:variant>
        <vt:i4>6815802</vt:i4>
      </vt:variant>
      <vt:variant>
        <vt:i4>54</vt:i4>
      </vt:variant>
      <vt:variant>
        <vt:i4>0</vt:i4>
      </vt:variant>
      <vt:variant>
        <vt:i4>5</vt:i4>
      </vt:variant>
      <vt:variant>
        <vt:lpwstr>https://asic.gov.au/about-asic/corporate-publications/asic-corporate-plan/</vt:lpwstr>
      </vt:variant>
      <vt:variant>
        <vt:lpwstr/>
      </vt:variant>
      <vt:variant>
        <vt:i4>8323192</vt:i4>
      </vt:variant>
      <vt:variant>
        <vt:i4>51</vt:i4>
      </vt:variant>
      <vt:variant>
        <vt:i4>0</vt:i4>
      </vt:variant>
      <vt:variant>
        <vt:i4>5</vt:i4>
      </vt:variant>
      <vt:variant>
        <vt:lpwstr>https://asic.gov.au/about-asic/news-centre/find-a-media-release/2021-releases/21-213mr-asic-s-approach-to-new-laws-reforming-financial-services-sector/</vt:lpwstr>
      </vt:variant>
      <vt:variant>
        <vt:lpwstr/>
      </vt:variant>
      <vt:variant>
        <vt:i4>655444</vt:i4>
      </vt:variant>
      <vt:variant>
        <vt:i4>48</vt:i4>
      </vt:variant>
      <vt:variant>
        <vt:i4>0</vt:i4>
      </vt:variant>
      <vt:variant>
        <vt:i4>5</vt:i4>
      </vt:variant>
      <vt:variant>
        <vt:lpwstr>https://asic.gov.au/about-asic/what-we-do/how-we-operate/accountability-and-reporting/statements-of-expectations-and-intent/statement-of-intent-australian-securities-and-investments-commission-august-2021/</vt:lpwstr>
      </vt:variant>
      <vt:variant>
        <vt:lpwstr/>
      </vt:variant>
      <vt:variant>
        <vt:i4>2228277</vt:i4>
      </vt:variant>
      <vt:variant>
        <vt:i4>45</vt:i4>
      </vt:variant>
      <vt:variant>
        <vt:i4>0</vt:i4>
      </vt:variant>
      <vt:variant>
        <vt:i4>5</vt:i4>
      </vt:variant>
      <vt:variant>
        <vt:lpwstr>https://archive.budget.gov.au/2021-22/myefo/download/myefo-2021-22.pdf</vt:lpwstr>
      </vt:variant>
      <vt:variant>
        <vt:lpwstr/>
      </vt:variant>
      <vt:variant>
        <vt:i4>2752541</vt:i4>
      </vt:variant>
      <vt:variant>
        <vt:i4>42</vt:i4>
      </vt:variant>
      <vt:variant>
        <vt:i4>0</vt:i4>
      </vt:variant>
      <vt:variant>
        <vt:i4>5</vt:i4>
      </vt:variant>
      <vt:variant>
        <vt:lpwstr>https://assets.publishing.service.gov.uk/government/uploads/system/uploads/attachment_data/file/1032075/FRF_Review_Consultation_2021_-_Final_.pdf</vt:lpwstr>
      </vt:variant>
      <vt:variant>
        <vt:lpwstr/>
      </vt:variant>
      <vt:variant>
        <vt:i4>7274622</vt:i4>
      </vt:variant>
      <vt:variant>
        <vt:i4>39</vt:i4>
      </vt:variant>
      <vt:variant>
        <vt:i4>0</vt:i4>
      </vt:variant>
      <vt:variant>
        <vt:i4>5</vt:i4>
      </vt:variant>
      <vt:variant>
        <vt:lpwstr>https://www.fca.org.uk/publication/annual-reports/annual-report-2020-21.pdf</vt:lpwstr>
      </vt:variant>
      <vt:variant>
        <vt:lpwstr/>
      </vt:variant>
      <vt:variant>
        <vt:i4>393311</vt:i4>
      </vt:variant>
      <vt:variant>
        <vt:i4>36</vt:i4>
      </vt:variant>
      <vt:variant>
        <vt:i4>0</vt:i4>
      </vt:variant>
      <vt:variant>
        <vt:i4>5</vt:i4>
      </vt:variant>
      <vt:variant>
        <vt:lpwstr>https://www.pmc.gov.au/news-centre/regulation/new-regulator-performance-guide</vt:lpwstr>
      </vt:variant>
      <vt:variant>
        <vt:lpwstr/>
      </vt:variant>
      <vt:variant>
        <vt:i4>393311</vt:i4>
      </vt:variant>
      <vt:variant>
        <vt:i4>33</vt:i4>
      </vt:variant>
      <vt:variant>
        <vt:i4>0</vt:i4>
      </vt:variant>
      <vt:variant>
        <vt:i4>5</vt:i4>
      </vt:variant>
      <vt:variant>
        <vt:lpwstr>https://www.pmc.gov.au/news-centre/regulation/new-regulator-performance-guide</vt:lpwstr>
      </vt:variant>
      <vt:variant>
        <vt:lpwstr/>
      </vt:variant>
      <vt:variant>
        <vt:i4>3866737</vt:i4>
      </vt:variant>
      <vt:variant>
        <vt:i4>30</vt:i4>
      </vt:variant>
      <vt:variant>
        <vt:i4>0</vt:i4>
      </vt:variant>
      <vt:variant>
        <vt:i4>5</vt:i4>
      </vt:variant>
      <vt:variant>
        <vt:lpwstr>https://www.ato.gov.au/about-ato/commitments-and-reporting/annual-report-and-other-reporting-to-parliament/regulator-performance-framework/</vt:lpwstr>
      </vt:variant>
      <vt:variant>
        <vt:lpwstr/>
      </vt:variant>
      <vt:variant>
        <vt:i4>3735661</vt:i4>
      </vt:variant>
      <vt:variant>
        <vt:i4>27</vt:i4>
      </vt:variant>
      <vt:variant>
        <vt:i4>0</vt:i4>
      </vt:variant>
      <vt:variant>
        <vt:i4>5</vt:i4>
      </vt:variant>
      <vt:variant>
        <vt:lpwstr>https://asic.gov.au/about-asic/what-we-do/how-we-operate/performance-and-review/asic-service-charter/asic-service-charter/</vt:lpwstr>
      </vt:variant>
      <vt:variant>
        <vt:lpwstr/>
      </vt:variant>
      <vt:variant>
        <vt:i4>786436</vt:i4>
      </vt:variant>
      <vt:variant>
        <vt:i4>24</vt:i4>
      </vt:variant>
      <vt:variant>
        <vt:i4>0</vt:i4>
      </vt:variant>
      <vt:variant>
        <vt:i4>5</vt:i4>
      </vt:variant>
      <vt:variant>
        <vt:lpwstr>https://www.afca.org.au/about-afca/annual-review</vt:lpwstr>
      </vt:variant>
      <vt:variant>
        <vt:lpwstr/>
      </vt:variant>
      <vt:variant>
        <vt:i4>3407915</vt:i4>
      </vt:variant>
      <vt:variant>
        <vt:i4>21</vt:i4>
      </vt:variant>
      <vt:variant>
        <vt:i4>0</vt:i4>
      </vt:variant>
      <vt:variant>
        <vt:i4>5</vt:i4>
      </vt:variant>
      <vt:variant>
        <vt:lpwstr>https://treasury.gov.au/publication/c2014-fsi-final-report</vt:lpwstr>
      </vt:variant>
      <vt:variant>
        <vt:lpwstr/>
      </vt:variant>
      <vt:variant>
        <vt:i4>6881340</vt:i4>
      </vt:variant>
      <vt:variant>
        <vt:i4>18</vt:i4>
      </vt:variant>
      <vt:variant>
        <vt:i4>0</vt:i4>
      </vt:variant>
      <vt:variant>
        <vt:i4>5</vt:i4>
      </vt:variant>
      <vt:variant>
        <vt:lpwstr>https://download.asic.gov.au/media/qzcaljce/asic-corporate-plan-2021-25-focus-2021-22-published-26-august-2021.pdf</vt:lpwstr>
      </vt:variant>
      <vt:variant>
        <vt:lpwstr/>
      </vt:variant>
      <vt:variant>
        <vt:i4>7929962</vt:i4>
      </vt:variant>
      <vt:variant>
        <vt:i4>15</vt:i4>
      </vt:variant>
      <vt:variant>
        <vt:i4>0</vt:i4>
      </vt:variant>
      <vt:variant>
        <vt:i4>5</vt:i4>
      </vt:variant>
      <vt:variant>
        <vt:lpwstr>https://www.fca.org.uk/data/fca-outcomes-metrics</vt:lpwstr>
      </vt:variant>
      <vt:variant>
        <vt:lpwstr>lf-chapter-id-measuring-the-outcomes-of-our-commitments</vt:lpwstr>
      </vt:variant>
      <vt:variant>
        <vt:i4>8192043</vt:i4>
      </vt:variant>
      <vt:variant>
        <vt:i4>12</vt:i4>
      </vt:variant>
      <vt:variant>
        <vt:i4>0</vt:i4>
      </vt:variant>
      <vt:variant>
        <vt:i4>5</vt:i4>
      </vt:variant>
      <vt:variant>
        <vt:lpwstr>https://asic.gov.au/about-asic/corporate-publications/asic-annual-reports/</vt:lpwstr>
      </vt:variant>
      <vt:variant>
        <vt:lpwstr>ar21</vt:lpwstr>
      </vt:variant>
      <vt:variant>
        <vt:i4>7209069</vt:i4>
      </vt:variant>
      <vt:variant>
        <vt:i4>9</vt:i4>
      </vt:variant>
      <vt:variant>
        <vt:i4>0</vt:i4>
      </vt:variant>
      <vt:variant>
        <vt:i4>5</vt:i4>
      </vt:variant>
      <vt:variant>
        <vt:lpwstr>https://www.finance.gov.au/publications/resource-management-guides/australian-government-charging-framework-rmg-302</vt:lpwstr>
      </vt:variant>
      <vt:variant>
        <vt:lpwstr>:~:text=The%20Charging%20Framework%20builds%20on,improved%20and%20consistent%20government%20charging.</vt:lpwstr>
      </vt:variant>
      <vt:variant>
        <vt:i4>5111903</vt:i4>
      </vt:variant>
      <vt:variant>
        <vt:i4>6</vt:i4>
      </vt:variant>
      <vt:variant>
        <vt:i4>0</vt:i4>
      </vt:variant>
      <vt:variant>
        <vt:i4>5</vt:i4>
      </vt:variant>
      <vt:variant>
        <vt:lpwstr>https://asic.gov.au/about-asic/news-centre/speeches/reflections-from-the-asic-chair/</vt:lpwstr>
      </vt:variant>
      <vt:variant>
        <vt:lpwstr/>
      </vt:variant>
      <vt:variant>
        <vt:i4>2883632</vt:i4>
      </vt:variant>
      <vt:variant>
        <vt:i4>3</vt:i4>
      </vt:variant>
      <vt:variant>
        <vt:i4>0</vt:i4>
      </vt:variant>
      <vt:variant>
        <vt:i4>5</vt:i4>
      </vt:variant>
      <vt:variant>
        <vt:lpwstr>https://asic.gov.au/about-asic/news-centre/speeches/chair-s-remarks-at-corporate-counsel-association-event/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Effectiveness and Capability Review of the Australian Securities and Investments Commission</dc:title>
  <dc:subject/>
  <dc:creator>Financial Regulator Assessment Authority</dc:creator>
  <cp:keywords/>
  <cp:lastModifiedBy>Hill, Christine</cp:lastModifiedBy>
  <cp:revision>103</cp:revision>
  <cp:lastPrinted>2022-08-16T00:26:00Z</cp:lastPrinted>
  <dcterms:created xsi:type="dcterms:W3CDTF">2022-08-01T01:50:00Z</dcterms:created>
  <dcterms:modified xsi:type="dcterms:W3CDTF">2022-08-16T03:21:00Z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Value_Footer">
    <vt:lpwstr/>
  </property>
  <property fmtid="{D5CDD505-2E9C-101B-9397-08002B2CF9AE}" pid="3" name="PM_Caveats_Count">
    <vt:lpwstr>0</vt:lpwstr>
  </property>
  <property fmtid="{D5CDD505-2E9C-101B-9397-08002B2CF9AE}" pid="4" name="PM_Originator_Hash_SHA1">
    <vt:lpwstr>65B4B6F1F11C183D2B9D7143C75A26499BBDDD68</vt:lpwstr>
  </property>
  <property fmtid="{D5CDD505-2E9C-101B-9397-08002B2CF9AE}" pid="5" name="PM_SecurityClassification">
    <vt:lpwstr/>
  </property>
  <property fmtid="{D5CDD505-2E9C-101B-9397-08002B2CF9AE}" pid="6" name="PM_DisplayValueSecClassificationWithQualifier">
    <vt:lpwstr/>
  </property>
  <property fmtid="{D5CDD505-2E9C-101B-9397-08002B2CF9AE}" pid="7" name="PM_Qualifier">
    <vt:lpwstr/>
  </property>
  <property fmtid="{D5CDD505-2E9C-101B-9397-08002B2CF9AE}" pid="8" name="PM_Hash_SHA1">
    <vt:lpwstr>59224100CA45110DE8AA77FC656880617385149A</vt:lpwstr>
  </property>
  <property fmtid="{D5CDD505-2E9C-101B-9397-08002B2CF9AE}" pid="9" name="PM_ProtectiveMarkingImage_Header">
    <vt:lpwstr>C:\Program Files (x86)\Common Files\janusNET Shared\janusSEAL\Images\DocumentSlashBlue.png</vt:lpwstr>
  </property>
  <property fmtid="{D5CDD505-2E9C-101B-9397-08002B2CF9AE}" pid="10" name="PM_InsertionValue">
    <vt:lpwstr/>
  </property>
  <property fmtid="{D5CDD505-2E9C-101B-9397-08002B2CF9AE}" pid="11" name="PM_ProtectiveMarkingValue_Header">
    <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2018.1</vt:lpwstr>
  </property>
  <property fmtid="{D5CDD505-2E9C-101B-9397-08002B2CF9AE}" pid="15" name="PM_Originating_FileId">
    <vt:lpwstr>561A7967D5954F90B3115701C10E08C8</vt:lpwstr>
  </property>
  <property fmtid="{D5CDD505-2E9C-101B-9397-08002B2CF9AE}" pid="16" name="PM_Note">
    <vt:lpwstr/>
  </property>
  <property fmtid="{D5CDD505-2E9C-101B-9397-08002B2CF9AE}" pid="17" name="PM_Markers">
    <vt:lpwstr/>
  </property>
  <property fmtid="{D5CDD505-2E9C-101B-9397-08002B2CF9AE}" pid="18" name="PM_OriginationTimeStamp">
    <vt:lpwstr>2020-08-10T07:58:36Z</vt:lpwstr>
  </property>
  <property fmtid="{D5CDD505-2E9C-101B-9397-08002B2CF9AE}" pid="19" name="PM_Hash_Version">
    <vt:lpwstr>2018.0</vt:lpwstr>
  </property>
  <property fmtid="{D5CDD505-2E9C-101B-9397-08002B2CF9AE}" pid="20" name="PM_Hash_Salt_Prev">
    <vt:lpwstr>E411A64B81591E50831F0A4DB80D0D3E</vt:lpwstr>
  </property>
  <property fmtid="{D5CDD505-2E9C-101B-9397-08002B2CF9AE}" pid="21" name="PM_Hash_Salt">
    <vt:lpwstr>10C4AEE9E10F566A9B67D4C9DDF64A3C</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ContentTypeId">
    <vt:lpwstr>0x010100AD24F356C664F1478E66EC083DEF24B3</vt:lpwstr>
  </property>
  <property fmtid="{D5CDD505-2E9C-101B-9397-08002B2CF9AE}" pid="25" name="_dlc_DocIdItemGuid">
    <vt:lpwstr>1602e436-38d0-47bd-a814-5062c00a9882</vt:lpwstr>
  </property>
  <property fmtid="{D5CDD505-2E9C-101B-9397-08002B2CF9AE}" pid="26" name="TSYRecordClass">
    <vt:lpwstr/>
  </property>
  <property fmtid="{D5CDD505-2E9C-101B-9397-08002B2CF9AE}" pid="27" name="eTheme">
    <vt:lpwstr>31;#Reviews and Inquiries|44975e42-2e5e-4e74-8e73-7eb62c595faa</vt:lpwstr>
  </property>
  <property fmtid="{D5CDD505-2E9C-101B-9397-08002B2CF9AE}" pid="28" name="eDocumentType">
    <vt:lpwstr>21;#Paper (Analysis or Research or Report)|6ad78538-b056-4e5b-8c06-e0b6c43f0ffa</vt:lpwstr>
  </property>
  <property fmtid="{D5CDD505-2E9C-101B-9397-08002B2CF9AE}" pid="29" name="eTopic">
    <vt:lpwstr>27;#ASIC|cc15355c-bf2a-41c9-8a65-ef2fc884bcf0;#24;#FRAA|8da74e1f-c43b-4fa7-87b9-b45c9cc45415;#22;#Regulator Effectiveness|6f917741-5072-4bc5-8ac8-6b4a8cd94687;#23;#Regulator performance|6a72a2c4-fa98-4742-b952-2356475807cb</vt:lpwstr>
  </property>
  <property fmtid="{D5CDD505-2E9C-101B-9397-08002B2CF9AE}" pid="30" name="eActivity">
    <vt:lpwstr>20;#Policy Development|3c21fa22-a311-4c7a-a8b0-1d9dee90bb01</vt:lpwstr>
  </property>
</Properties>
</file>